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A8F11E" w14:textId="01091659" w:rsidR="00E4685C" w:rsidRPr="000C74A9" w:rsidRDefault="00D565A1" w:rsidP="00E4685C">
      <w:pPr>
        <w:pStyle w:val="Header"/>
        <w:spacing w:after="480"/>
        <w:jc w:val="center"/>
        <w:outlineLvl w:val="0"/>
        <w:rPr>
          <w:b/>
          <w:bCs/>
          <w:i w:val="0"/>
          <w:szCs w:val="22"/>
        </w:rPr>
      </w:pPr>
      <w:r>
        <w:rPr>
          <w:b/>
          <w:bCs/>
          <w:i w:val="0"/>
          <w:szCs w:val="22"/>
        </w:rPr>
        <w:t>SmartThink</w:t>
      </w:r>
      <w:r w:rsidR="00E4685C" w:rsidRPr="000C74A9">
        <w:rPr>
          <w:b/>
          <w:bCs/>
          <w:i w:val="0"/>
          <w:szCs w:val="22"/>
        </w:rPr>
        <w:br/>
        <w:t>Not</w:t>
      </w:r>
      <w:r w:rsidR="002C7561">
        <w:rPr>
          <w:b/>
          <w:bCs/>
          <w:i w:val="0"/>
          <w:szCs w:val="22"/>
        </w:rPr>
        <w:t>ice</w:t>
      </w:r>
      <w:r w:rsidR="00E4685C" w:rsidRPr="000C74A9">
        <w:rPr>
          <w:b/>
          <w:bCs/>
          <w:i w:val="0"/>
          <w:szCs w:val="22"/>
        </w:rPr>
        <w:t xml:space="preserve"> of Finding and Recommendation</w:t>
      </w:r>
      <w:r w:rsidR="00E4685C" w:rsidRPr="000C74A9">
        <w:rPr>
          <w:b/>
          <w:bCs/>
          <w:i w:val="0"/>
          <w:szCs w:val="22"/>
        </w:rPr>
        <w:br/>
        <w:t>Fisc</w:t>
      </w:r>
      <w:r>
        <w:rPr>
          <w:b/>
          <w:bCs/>
          <w:i w:val="0"/>
          <w:szCs w:val="22"/>
        </w:rPr>
        <w:t>al Year Ended September 30, 2015</w:t>
      </w:r>
    </w:p>
    <w:p w14:paraId="7D36D9E5" w14:textId="543E2940" w:rsidR="00140F03" w:rsidRPr="00554373" w:rsidRDefault="002C7561" w:rsidP="00BB16D3">
      <w:pPr>
        <w:ind w:left="2250" w:hanging="2250"/>
        <w:outlineLvl w:val="0"/>
        <w:rPr>
          <w:szCs w:val="22"/>
          <w:u w:val="single"/>
        </w:rPr>
      </w:pPr>
      <w:r>
        <w:rPr>
          <w:b/>
          <w:szCs w:val="22"/>
        </w:rPr>
        <w:t>Location</w:t>
      </w:r>
      <w:r w:rsidR="00140F03" w:rsidRPr="0028238C">
        <w:rPr>
          <w:b/>
          <w:szCs w:val="22"/>
        </w:rPr>
        <w:t>:</w:t>
      </w:r>
      <w:r w:rsidR="00D565A1">
        <w:rPr>
          <w:szCs w:val="22"/>
        </w:rPr>
        <w:t xml:space="preserve">            </w:t>
      </w:r>
      <w:r w:rsidR="00AE5E50" w:rsidRPr="00917FF2">
        <w:t xml:space="preserve"> Headquarters</w:t>
      </w:r>
    </w:p>
    <w:p w14:paraId="3C5229C4" w14:textId="15F2E477" w:rsidR="0046489B" w:rsidRPr="005C3EAE" w:rsidRDefault="0046489B" w:rsidP="005C3EAE">
      <w:pPr>
        <w:ind w:left="2250" w:hanging="2250"/>
        <w:rPr>
          <w:b/>
          <w:szCs w:val="22"/>
        </w:rPr>
      </w:pPr>
      <w:r w:rsidRPr="0028238C">
        <w:rPr>
          <w:b/>
          <w:szCs w:val="22"/>
        </w:rPr>
        <w:t>Finding Number:</w:t>
      </w:r>
      <w:r w:rsidR="00570174" w:rsidRPr="005C3EAE">
        <w:rPr>
          <w:b/>
          <w:szCs w:val="22"/>
        </w:rPr>
        <w:tab/>
      </w:r>
      <w:bookmarkStart w:id="0" w:name="_Hlk531606947"/>
      <w:r w:rsidR="00D565A1">
        <w:rPr>
          <w:b/>
          <w:szCs w:val="22"/>
        </w:rPr>
        <w:t>IT-15-25</w:t>
      </w:r>
      <w:bookmarkEnd w:id="0"/>
    </w:p>
    <w:p w14:paraId="37191C8B" w14:textId="41A48AD3" w:rsidR="0046489B" w:rsidRPr="00F72175" w:rsidRDefault="0046489B" w:rsidP="00BB16D3">
      <w:pPr>
        <w:ind w:left="2250" w:hanging="2250"/>
        <w:rPr>
          <w:b/>
          <w:szCs w:val="22"/>
        </w:rPr>
      </w:pPr>
      <w:r w:rsidRPr="0028238C">
        <w:rPr>
          <w:b/>
          <w:szCs w:val="22"/>
        </w:rPr>
        <w:t>PY Finding Number:</w:t>
      </w:r>
      <w:r w:rsidR="009877D3">
        <w:rPr>
          <w:b/>
          <w:szCs w:val="22"/>
        </w:rPr>
        <w:tab/>
      </w:r>
      <w:r w:rsidR="00D565A1">
        <w:rPr>
          <w:b/>
          <w:szCs w:val="22"/>
        </w:rPr>
        <w:t>IT-14</w:t>
      </w:r>
      <w:r w:rsidR="00E8453B" w:rsidRPr="000C74A9">
        <w:rPr>
          <w:b/>
          <w:szCs w:val="22"/>
        </w:rPr>
        <w:t>-</w:t>
      </w:r>
      <w:r w:rsidR="00D565A1">
        <w:rPr>
          <w:b/>
          <w:szCs w:val="22"/>
        </w:rPr>
        <w:t>09</w:t>
      </w:r>
    </w:p>
    <w:p w14:paraId="5968E041" w14:textId="77777777" w:rsidR="00570174" w:rsidRPr="0028238C" w:rsidRDefault="00570174" w:rsidP="007B6B35">
      <w:pPr>
        <w:pStyle w:val="BodyText"/>
        <w:spacing w:before="240" w:after="240"/>
        <w:ind w:left="2250" w:hanging="2250"/>
        <w:rPr>
          <w:szCs w:val="22"/>
        </w:rPr>
      </w:pPr>
      <w:r w:rsidRPr="0028238C">
        <w:rPr>
          <w:b/>
          <w:szCs w:val="22"/>
        </w:rPr>
        <w:t>F/S line items affected</w:t>
      </w:r>
      <w:r w:rsidR="009877D3">
        <w:rPr>
          <w:b/>
          <w:szCs w:val="22"/>
        </w:rPr>
        <w:t>:</w:t>
      </w:r>
      <w:r w:rsidR="009877D3">
        <w:rPr>
          <w:b/>
          <w:szCs w:val="22"/>
        </w:rPr>
        <w:tab/>
      </w:r>
      <w:r w:rsidR="00AE4548">
        <w:rPr>
          <w:szCs w:val="22"/>
        </w:rPr>
        <w:t>Other Non-Governmental Liabilities</w:t>
      </w:r>
    </w:p>
    <w:p w14:paraId="276FFCB3" w14:textId="77777777" w:rsidR="00F96983" w:rsidRPr="005C3EAE" w:rsidRDefault="00F96983" w:rsidP="007B6B35">
      <w:pPr>
        <w:rPr>
          <w:b/>
        </w:rPr>
      </w:pPr>
      <w:r w:rsidRPr="005C3EAE">
        <w:rPr>
          <w:b/>
        </w:rPr>
        <w:t>Control Deficiencies:</w:t>
      </w:r>
    </w:p>
    <w:p w14:paraId="0E3E25C3" w14:textId="77777777" w:rsidR="00F1543A" w:rsidRDefault="003B2690" w:rsidP="007B6B35">
      <w:pPr>
        <w:spacing w:after="120"/>
        <w:rPr>
          <w:b/>
          <w:i/>
        </w:rPr>
      </w:pPr>
      <w:r w:rsidRPr="005C3EAE">
        <w:rPr>
          <w:b/>
          <w:i/>
        </w:rPr>
        <w:t xml:space="preserve">General </w:t>
      </w:r>
      <w:r w:rsidR="006D6FF3" w:rsidRPr="005C3EAE">
        <w:rPr>
          <w:b/>
          <w:i/>
        </w:rPr>
        <w:t>Information Technology Controls</w:t>
      </w:r>
      <w:r w:rsidR="00B02523" w:rsidRPr="005C3EAE">
        <w:rPr>
          <w:b/>
          <w:i/>
        </w:rPr>
        <w:t xml:space="preserve"> (</w:t>
      </w:r>
      <w:r w:rsidRPr="005C3EAE">
        <w:rPr>
          <w:b/>
          <w:i/>
        </w:rPr>
        <w:t>G</w:t>
      </w:r>
      <w:r w:rsidR="00B02523" w:rsidRPr="005C3EAE">
        <w:rPr>
          <w:b/>
          <w:i/>
        </w:rPr>
        <w:t>ITC)</w:t>
      </w:r>
      <w:r w:rsidR="00BB16D3" w:rsidRPr="005C3EAE">
        <w:rPr>
          <w:b/>
          <w:i/>
        </w:rPr>
        <w:t xml:space="preserve"> </w:t>
      </w:r>
      <w:r w:rsidR="00F1543A" w:rsidRPr="005C3EAE">
        <w:rPr>
          <w:b/>
          <w:i/>
        </w:rPr>
        <w:t>FISCAM</w:t>
      </w:r>
      <w:r w:rsidR="00A74C0B" w:rsidRPr="005C3EAE">
        <w:rPr>
          <w:b/>
          <w:i/>
        </w:rPr>
        <w:t xml:space="preserve"> Category</w:t>
      </w:r>
      <w:r w:rsidR="0028238C" w:rsidRPr="005C3EAE">
        <w:rPr>
          <w:b/>
          <w:i/>
        </w:rPr>
        <w:t>:</w:t>
      </w:r>
    </w:p>
    <w:tbl>
      <w:tblPr>
        <w:tblW w:w="9378" w:type="dxa"/>
        <w:tblLayout w:type="fixed"/>
        <w:tblLook w:val="01E0" w:firstRow="1" w:lastRow="1" w:firstColumn="1" w:lastColumn="1" w:noHBand="0" w:noVBand="0"/>
      </w:tblPr>
      <w:tblGrid>
        <w:gridCol w:w="236"/>
        <w:gridCol w:w="1156"/>
        <w:gridCol w:w="236"/>
        <w:gridCol w:w="236"/>
        <w:gridCol w:w="767"/>
        <w:gridCol w:w="236"/>
        <w:gridCol w:w="236"/>
        <w:gridCol w:w="1226"/>
        <w:gridCol w:w="236"/>
        <w:gridCol w:w="236"/>
        <w:gridCol w:w="1271"/>
        <w:gridCol w:w="236"/>
        <w:gridCol w:w="280"/>
        <w:gridCol w:w="1260"/>
        <w:gridCol w:w="270"/>
        <w:gridCol w:w="270"/>
        <w:gridCol w:w="990"/>
      </w:tblGrid>
      <w:tr w:rsidR="00F84E60" w:rsidRPr="00B42992" w14:paraId="5B4923FB" w14:textId="77777777" w:rsidTr="006045E2">
        <w:tc>
          <w:tcPr>
            <w:tcW w:w="236" w:type="dxa"/>
            <w:tcBorders>
              <w:top w:val="single" w:sz="4" w:space="0" w:color="auto"/>
              <w:left w:val="single" w:sz="4" w:space="0" w:color="auto"/>
              <w:bottom w:val="single" w:sz="4" w:space="0" w:color="auto"/>
              <w:right w:val="single" w:sz="4" w:space="0" w:color="auto"/>
            </w:tcBorders>
          </w:tcPr>
          <w:p w14:paraId="013B6F4D" w14:textId="77777777" w:rsidR="00F84E60" w:rsidRPr="00E96850" w:rsidRDefault="00F84E60" w:rsidP="006045E2">
            <w:pPr>
              <w:pStyle w:val="BodyText"/>
              <w:spacing w:before="0" w:after="0"/>
              <w:rPr>
                <w:sz w:val="18"/>
                <w:szCs w:val="18"/>
              </w:rPr>
            </w:pPr>
          </w:p>
        </w:tc>
        <w:tc>
          <w:tcPr>
            <w:tcW w:w="1156" w:type="dxa"/>
            <w:tcBorders>
              <w:left w:val="single" w:sz="4" w:space="0" w:color="auto"/>
            </w:tcBorders>
          </w:tcPr>
          <w:p w14:paraId="60299F0F" w14:textId="77777777" w:rsidR="00F84E60" w:rsidRPr="00E96850" w:rsidRDefault="00F84E60" w:rsidP="006045E2">
            <w:pPr>
              <w:pStyle w:val="BodyText"/>
              <w:spacing w:before="0" w:after="0"/>
              <w:rPr>
                <w:sz w:val="18"/>
                <w:szCs w:val="18"/>
              </w:rPr>
            </w:pPr>
            <w:r w:rsidRPr="00E96850">
              <w:rPr>
                <w:sz w:val="18"/>
                <w:szCs w:val="18"/>
              </w:rPr>
              <w:t>Security</w:t>
            </w:r>
          </w:p>
        </w:tc>
        <w:tc>
          <w:tcPr>
            <w:tcW w:w="236" w:type="dxa"/>
            <w:tcBorders>
              <w:right w:val="single" w:sz="4" w:space="0" w:color="auto"/>
            </w:tcBorders>
          </w:tcPr>
          <w:p w14:paraId="37C7E43C" w14:textId="77777777" w:rsidR="00F84E60" w:rsidRPr="00E96850" w:rsidRDefault="00F84E60" w:rsidP="006045E2">
            <w:pPr>
              <w:pStyle w:val="BodyText"/>
              <w:spacing w:before="0" w:after="0"/>
              <w:rPr>
                <w:sz w:val="18"/>
                <w:szCs w:val="18"/>
              </w:rPr>
            </w:pPr>
          </w:p>
        </w:tc>
        <w:tc>
          <w:tcPr>
            <w:tcW w:w="236" w:type="dxa"/>
            <w:tcBorders>
              <w:top w:val="single" w:sz="4" w:space="0" w:color="auto"/>
              <w:left w:val="single" w:sz="4" w:space="0" w:color="auto"/>
              <w:bottom w:val="single" w:sz="4" w:space="0" w:color="auto"/>
              <w:right w:val="single" w:sz="4" w:space="0" w:color="auto"/>
            </w:tcBorders>
          </w:tcPr>
          <w:p w14:paraId="0A8B9250" w14:textId="77777777" w:rsidR="00F84E60" w:rsidRPr="00E96850" w:rsidRDefault="00F84E60" w:rsidP="006045E2">
            <w:pPr>
              <w:pStyle w:val="BodyText"/>
              <w:spacing w:before="0" w:after="0"/>
              <w:rPr>
                <w:sz w:val="18"/>
                <w:szCs w:val="18"/>
              </w:rPr>
            </w:pPr>
          </w:p>
        </w:tc>
        <w:tc>
          <w:tcPr>
            <w:tcW w:w="767" w:type="dxa"/>
            <w:tcBorders>
              <w:left w:val="single" w:sz="4" w:space="0" w:color="auto"/>
            </w:tcBorders>
          </w:tcPr>
          <w:p w14:paraId="2778C99A" w14:textId="77777777" w:rsidR="00F84E60" w:rsidRPr="00E96850" w:rsidRDefault="00F84E60" w:rsidP="006045E2">
            <w:pPr>
              <w:pStyle w:val="BodyText"/>
              <w:spacing w:before="0" w:after="0"/>
              <w:rPr>
                <w:sz w:val="18"/>
                <w:szCs w:val="18"/>
              </w:rPr>
            </w:pPr>
            <w:r w:rsidRPr="00E96850">
              <w:rPr>
                <w:sz w:val="18"/>
                <w:szCs w:val="18"/>
              </w:rPr>
              <w:t xml:space="preserve">Access </w:t>
            </w:r>
          </w:p>
        </w:tc>
        <w:tc>
          <w:tcPr>
            <w:tcW w:w="236" w:type="dxa"/>
            <w:tcBorders>
              <w:right w:val="single" w:sz="4" w:space="0" w:color="auto"/>
            </w:tcBorders>
          </w:tcPr>
          <w:p w14:paraId="5FDAD7CF" w14:textId="77777777" w:rsidR="00F84E60" w:rsidRPr="00E96850" w:rsidRDefault="00F84E60" w:rsidP="006045E2">
            <w:pPr>
              <w:pStyle w:val="BodyText"/>
              <w:spacing w:before="0" w:after="0"/>
              <w:rPr>
                <w:sz w:val="18"/>
                <w:szCs w:val="18"/>
              </w:rPr>
            </w:pPr>
          </w:p>
        </w:tc>
        <w:tc>
          <w:tcPr>
            <w:tcW w:w="236" w:type="dxa"/>
            <w:tcBorders>
              <w:top w:val="single" w:sz="4" w:space="0" w:color="auto"/>
              <w:left w:val="single" w:sz="4" w:space="0" w:color="auto"/>
              <w:bottom w:val="single" w:sz="4" w:space="0" w:color="auto"/>
              <w:right w:val="single" w:sz="4" w:space="0" w:color="auto"/>
            </w:tcBorders>
          </w:tcPr>
          <w:p w14:paraId="6996093F" w14:textId="77777777" w:rsidR="00F84E60" w:rsidRPr="00E96850" w:rsidRDefault="00496285" w:rsidP="006045E2">
            <w:pPr>
              <w:pStyle w:val="BodyText"/>
              <w:spacing w:before="0" w:after="0"/>
              <w:rPr>
                <w:sz w:val="18"/>
                <w:szCs w:val="18"/>
              </w:rPr>
            </w:pPr>
            <w:r w:rsidRPr="002D7775">
              <w:rPr>
                <w:rFonts w:ascii="Webdings" w:hAnsi="Webdings"/>
                <w:sz w:val="18"/>
                <w:szCs w:val="22"/>
              </w:rPr>
              <w:t></w:t>
            </w:r>
          </w:p>
        </w:tc>
        <w:tc>
          <w:tcPr>
            <w:tcW w:w="1226" w:type="dxa"/>
            <w:tcBorders>
              <w:left w:val="single" w:sz="4" w:space="0" w:color="auto"/>
            </w:tcBorders>
          </w:tcPr>
          <w:p w14:paraId="3BEDA90D" w14:textId="77777777" w:rsidR="00F84E60" w:rsidRPr="00E96850" w:rsidRDefault="00F84E60" w:rsidP="006045E2">
            <w:pPr>
              <w:pStyle w:val="BodyText"/>
              <w:spacing w:before="0" w:after="0"/>
              <w:rPr>
                <w:sz w:val="18"/>
                <w:szCs w:val="18"/>
              </w:rPr>
            </w:pPr>
            <w:r w:rsidRPr="00E96850">
              <w:rPr>
                <w:sz w:val="18"/>
                <w:szCs w:val="18"/>
              </w:rPr>
              <w:t>Configuration</w:t>
            </w:r>
          </w:p>
        </w:tc>
        <w:tc>
          <w:tcPr>
            <w:tcW w:w="236" w:type="dxa"/>
            <w:tcBorders>
              <w:right w:val="single" w:sz="4" w:space="0" w:color="auto"/>
            </w:tcBorders>
          </w:tcPr>
          <w:p w14:paraId="277B3888" w14:textId="77777777" w:rsidR="00F84E60" w:rsidRPr="00E96850" w:rsidRDefault="00F84E60" w:rsidP="006045E2">
            <w:pPr>
              <w:pStyle w:val="BodyText"/>
              <w:spacing w:before="0" w:after="0"/>
              <w:rPr>
                <w:sz w:val="18"/>
                <w:szCs w:val="18"/>
              </w:rPr>
            </w:pPr>
          </w:p>
        </w:tc>
        <w:tc>
          <w:tcPr>
            <w:tcW w:w="236" w:type="dxa"/>
            <w:tcBorders>
              <w:top w:val="single" w:sz="4" w:space="0" w:color="auto"/>
              <w:left w:val="single" w:sz="4" w:space="0" w:color="auto"/>
              <w:bottom w:val="single" w:sz="4" w:space="0" w:color="auto"/>
              <w:right w:val="single" w:sz="4" w:space="0" w:color="auto"/>
            </w:tcBorders>
          </w:tcPr>
          <w:p w14:paraId="3D3486F5" w14:textId="77777777" w:rsidR="00F84E60" w:rsidRPr="00E96850" w:rsidRDefault="00F84E60" w:rsidP="006045E2">
            <w:pPr>
              <w:pStyle w:val="BodyText"/>
              <w:spacing w:before="0" w:after="0"/>
              <w:rPr>
                <w:sz w:val="18"/>
                <w:szCs w:val="18"/>
              </w:rPr>
            </w:pPr>
          </w:p>
        </w:tc>
        <w:tc>
          <w:tcPr>
            <w:tcW w:w="1271" w:type="dxa"/>
            <w:tcBorders>
              <w:left w:val="single" w:sz="4" w:space="0" w:color="auto"/>
            </w:tcBorders>
          </w:tcPr>
          <w:p w14:paraId="232A3EC5" w14:textId="77777777" w:rsidR="00F84E60" w:rsidRPr="00E96850" w:rsidRDefault="00F84E60" w:rsidP="006045E2">
            <w:pPr>
              <w:pStyle w:val="BodyText"/>
              <w:spacing w:before="0" w:after="0"/>
              <w:rPr>
                <w:sz w:val="18"/>
                <w:szCs w:val="18"/>
              </w:rPr>
            </w:pPr>
            <w:r w:rsidRPr="00E96850">
              <w:rPr>
                <w:sz w:val="18"/>
                <w:szCs w:val="18"/>
              </w:rPr>
              <w:t>Segregation of</w:t>
            </w:r>
          </w:p>
        </w:tc>
        <w:tc>
          <w:tcPr>
            <w:tcW w:w="236" w:type="dxa"/>
            <w:tcBorders>
              <w:right w:val="single" w:sz="4" w:space="0" w:color="auto"/>
            </w:tcBorders>
          </w:tcPr>
          <w:p w14:paraId="26B6D646" w14:textId="77777777" w:rsidR="00F84E60" w:rsidRPr="00E96850" w:rsidRDefault="00F84E60" w:rsidP="006045E2">
            <w:pPr>
              <w:pStyle w:val="BodyText"/>
              <w:spacing w:before="0" w:after="0"/>
              <w:rPr>
                <w:sz w:val="18"/>
                <w:szCs w:val="18"/>
              </w:rPr>
            </w:pPr>
          </w:p>
        </w:tc>
        <w:tc>
          <w:tcPr>
            <w:tcW w:w="280" w:type="dxa"/>
            <w:tcBorders>
              <w:top w:val="single" w:sz="4" w:space="0" w:color="auto"/>
              <w:left w:val="single" w:sz="4" w:space="0" w:color="auto"/>
              <w:bottom w:val="single" w:sz="4" w:space="0" w:color="auto"/>
              <w:right w:val="single" w:sz="4" w:space="0" w:color="auto"/>
            </w:tcBorders>
          </w:tcPr>
          <w:p w14:paraId="4F46F294" w14:textId="77777777" w:rsidR="00F84E60" w:rsidRPr="00E96850" w:rsidRDefault="00F84E60" w:rsidP="006045E2">
            <w:pPr>
              <w:pStyle w:val="BodyText"/>
              <w:spacing w:before="0" w:after="0"/>
              <w:rPr>
                <w:sz w:val="18"/>
                <w:szCs w:val="18"/>
              </w:rPr>
            </w:pPr>
          </w:p>
        </w:tc>
        <w:tc>
          <w:tcPr>
            <w:tcW w:w="1260" w:type="dxa"/>
            <w:tcBorders>
              <w:left w:val="single" w:sz="4" w:space="0" w:color="auto"/>
            </w:tcBorders>
          </w:tcPr>
          <w:p w14:paraId="6FD4E59D" w14:textId="77777777" w:rsidR="00F84E60" w:rsidRPr="00E96850" w:rsidRDefault="00F84E60" w:rsidP="006045E2">
            <w:pPr>
              <w:pStyle w:val="BodyText"/>
              <w:spacing w:before="0" w:after="0"/>
              <w:rPr>
                <w:sz w:val="18"/>
                <w:szCs w:val="18"/>
              </w:rPr>
            </w:pPr>
            <w:r w:rsidRPr="00E96850">
              <w:rPr>
                <w:sz w:val="18"/>
                <w:szCs w:val="18"/>
              </w:rPr>
              <w:t>Contingency</w:t>
            </w:r>
          </w:p>
        </w:tc>
        <w:tc>
          <w:tcPr>
            <w:tcW w:w="270" w:type="dxa"/>
            <w:tcBorders>
              <w:right w:val="single" w:sz="4" w:space="0" w:color="auto"/>
            </w:tcBorders>
          </w:tcPr>
          <w:p w14:paraId="5579ADAC" w14:textId="77777777" w:rsidR="00F84E60" w:rsidRPr="00E96850" w:rsidRDefault="00F84E60" w:rsidP="006045E2">
            <w:pPr>
              <w:pStyle w:val="BodyText"/>
              <w:spacing w:before="0" w:after="0"/>
              <w:rPr>
                <w:sz w:val="18"/>
                <w:szCs w:val="18"/>
              </w:rPr>
            </w:pPr>
          </w:p>
        </w:tc>
        <w:tc>
          <w:tcPr>
            <w:tcW w:w="270" w:type="dxa"/>
            <w:tcBorders>
              <w:top w:val="single" w:sz="4" w:space="0" w:color="auto"/>
              <w:left w:val="single" w:sz="4" w:space="0" w:color="auto"/>
              <w:bottom w:val="single" w:sz="4" w:space="0" w:color="auto"/>
            </w:tcBorders>
          </w:tcPr>
          <w:p w14:paraId="38088038" w14:textId="77777777" w:rsidR="00F84E60" w:rsidRPr="00E96850" w:rsidRDefault="00F84E60" w:rsidP="006045E2">
            <w:pPr>
              <w:pStyle w:val="BodyText"/>
              <w:spacing w:before="0" w:after="0"/>
              <w:rPr>
                <w:sz w:val="18"/>
                <w:szCs w:val="18"/>
              </w:rPr>
            </w:pPr>
          </w:p>
        </w:tc>
        <w:tc>
          <w:tcPr>
            <w:tcW w:w="990" w:type="dxa"/>
            <w:tcBorders>
              <w:left w:val="single" w:sz="4" w:space="0" w:color="auto"/>
            </w:tcBorders>
          </w:tcPr>
          <w:p w14:paraId="392BAAED" w14:textId="77777777" w:rsidR="00F84E60" w:rsidRPr="00E96850" w:rsidRDefault="00F84E60" w:rsidP="006045E2">
            <w:pPr>
              <w:pStyle w:val="BodyText"/>
              <w:spacing w:before="0" w:after="0"/>
              <w:rPr>
                <w:sz w:val="18"/>
                <w:szCs w:val="18"/>
              </w:rPr>
            </w:pPr>
            <w:r>
              <w:rPr>
                <w:sz w:val="18"/>
                <w:szCs w:val="18"/>
              </w:rPr>
              <w:t>Business</w:t>
            </w:r>
          </w:p>
        </w:tc>
      </w:tr>
      <w:tr w:rsidR="00F84E60" w:rsidRPr="00B42992" w14:paraId="73021C93" w14:textId="77777777" w:rsidTr="006045E2">
        <w:tc>
          <w:tcPr>
            <w:tcW w:w="236" w:type="dxa"/>
            <w:tcBorders>
              <w:top w:val="single" w:sz="4" w:space="0" w:color="auto"/>
            </w:tcBorders>
          </w:tcPr>
          <w:p w14:paraId="1FF644E1" w14:textId="77777777" w:rsidR="00F84E60" w:rsidRPr="00E96850" w:rsidRDefault="00F84E60" w:rsidP="006045E2">
            <w:pPr>
              <w:pStyle w:val="BodyText"/>
              <w:spacing w:before="0" w:after="0"/>
              <w:rPr>
                <w:sz w:val="18"/>
                <w:szCs w:val="18"/>
              </w:rPr>
            </w:pPr>
          </w:p>
        </w:tc>
        <w:tc>
          <w:tcPr>
            <w:tcW w:w="1156" w:type="dxa"/>
          </w:tcPr>
          <w:p w14:paraId="45BD2668" w14:textId="77777777" w:rsidR="00F84E60" w:rsidRPr="00E96850" w:rsidRDefault="00F84E60" w:rsidP="006045E2">
            <w:pPr>
              <w:pStyle w:val="BodyText"/>
              <w:spacing w:before="0" w:after="0"/>
              <w:rPr>
                <w:sz w:val="18"/>
                <w:szCs w:val="18"/>
              </w:rPr>
            </w:pPr>
            <w:r w:rsidRPr="00E96850">
              <w:rPr>
                <w:sz w:val="18"/>
                <w:szCs w:val="18"/>
              </w:rPr>
              <w:t>Management</w:t>
            </w:r>
          </w:p>
        </w:tc>
        <w:tc>
          <w:tcPr>
            <w:tcW w:w="236" w:type="dxa"/>
          </w:tcPr>
          <w:p w14:paraId="0477463E" w14:textId="77777777" w:rsidR="00F84E60" w:rsidRPr="00E96850" w:rsidRDefault="00F84E60" w:rsidP="006045E2">
            <w:pPr>
              <w:pStyle w:val="BodyText"/>
              <w:spacing w:before="0" w:after="0"/>
              <w:rPr>
                <w:sz w:val="18"/>
                <w:szCs w:val="18"/>
              </w:rPr>
            </w:pPr>
          </w:p>
        </w:tc>
        <w:tc>
          <w:tcPr>
            <w:tcW w:w="236" w:type="dxa"/>
            <w:tcBorders>
              <w:top w:val="single" w:sz="4" w:space="0" w:color="auto"/>
            </w:tcBorders>
          </w:tcPr>
          <w:p w14:paraId="6ECE5F8F" w14:textId="77777777" w:rsidR="00F84E60" w:rsidRPr="00E96850" w:rsidRDefault="00F84E60" w:rsidP="006045E2">
            <w:pPr>
              <w:pStyle w:val="BodyText"/>
              <w:spacing w:before="0" w:after="0"/>
              <w:rPr>
                <w:sz w:val="18"/>
                <w:szCs w:val="18"/>
              </w:rPr>
            </w:pPr>
          </w:p>
        </w:tc>
        <w:tc>
          <w:tcPr>
            <w:tcW w:w="767" w:type="dxa"/>
          </w:tcPr>
          <w:p w14:paraId="7E34E323" w14:textId="77777777" w:rsidR="00F84E60" w:rsidRPr="00E96850" w:rsidRDefault="00F84E60" w:rsidP="006045E2">
            <w:pPr>
              <w:pStyle w:val="BodyText"/>
              <w:spacing w:before="0" w:after="0"/>
              <w:rPr>
                <w:sz w:val="18"/>
                <w:szCs w:val="18"/>
              </w:rPr>
            </w:pPr>
            <w:r w:rsidRPr="00E96850">
              <w:rPr>
                <w:sz w:val="18"/>
                <w:szCs w:val="18"/>
              </w:rPr>
              <w:t>Control</w:t>
            </w:r>
          </w:p>
        </w:tc>
        <w:tc>
          <w:tcPr>
            <w:tcW w:w="236" w:type="dxa"/>
          </w:tcPr>
          <w:p w14:paraId="4DFAAF06" w14:textId="77777777" w:rsidR="00F84E60" w:rsidRPr="00E96850" w:rsidRDefault="00F84E60" w:rsidP="006045E2">
            <w:pPr>
              <w:pStyle w:val="BodyText"/>
              <w:spacing w:before="0" w:after="0"/>
              <w:rPr>
                <w:sz w:val="18"/>
                <w:szCs w:val="18"/>
              </w:rPr>
            </w:pPr>
          </w:p>
        </w:tc>
        <w:tc>
          <w:tcPr>
            <w:tcW w:w="236" w:type="dxa"/>
            <w:tcBorders>
              <w:top w:val="single" w:sz="4" w:space="0" w:color="auto"/>
            </w:tcBorders>
          </w:tcPr>
          <w:p w14:paraId="25195605" w14:textId="77777777" w:rsidR="00F84E60" w:rsidRPr="00E96850" w:rsidRDefault="00F84E60" w:rsidP="006045E2">
            <w:pPr>
              <w:pStyle w:val="BodyText"/>
              <w:spacing w:before="0" w:after="0"/>
              <w:rPr>
                <w:sz w:val="18"/>
                <w:szCs w:val="18"/>
              </w:rPr>
            </w:pPr>
          </w:p>
        </w:tc>
        <w:tc>
          <w:tcPr>
            <w:tcW w:w="1226" w:type="dxa"/>
          </w:tcPr>
          <w:p w14:paraId="5805B350" w14:textId="77777777" w:rsidR="00F84E60" w:rsidRPr="00E96850" w:rsidRDefault="00F84E60" w:rsidP="006045E2">
            <w:pPr>
              <w:pStyle w:val="BodyText"/>
              <w:spacing w:before="0" w:after="0"/>
              <w:rPr>
                <w:sz w:val="18"/>
                <w:szCs w:val="18"/>
              </w:rPr>
            </w:pPr>
            <w:r w:rsidRPr="00E96850">
              <w:rPr>
                <w:sz w:val="18"/>
                <w:szCs w:val="18"/>
              </w:rPr>
              <w:t>Management</w:t>
            </w:r>
          </w:p>
        </w:tc>
        <w:tc>
          <w:tcPr>
            <w:tcW w:w="236" w:type="dxa"/>
          </w:tcPr>
          <w:p w14:paraId="6DBCF86C" w14:textId="77777777" w:rsidR="00F84E60" w:rsidRPr="00E96850" w:rsidRDefault="00F84E60" w:rsidP="006045E2">
            <w:pPr>
              <w:pStyle w:val="BodyText"/>
              <w:spacing w:before="0" w:after="0"/>
              <w:rPr>
                <w:sz w:val="18"/>
                <w:szCs w:val="18"/>
              </w:rPr>
            </w:pPr>
          </w:p>
        </w:tc>
        <w:tc>
          <w:tcPr>
            <w:tcW w:w="236" w:type="dxa"/>
            <w:tcBorders>
              <w:top w:val="single" w:sz="4" w:space="0" w:color="auto"/>
            </w:tcBorders>
          </w:tcPr>
          <w:p w14:paraId="05934AD0" w14:textId="77777777" w:rsidR="00F84E60" w:rsidRPr="00E96850" w:rsidRDefault="00F84E60" w:rsidP="006045E2">
            <w:pPr>
              <w:pStyle w:val="BodyText"/>
              <w:spacing w:before="0" w:after="0"/>
              <w:rPr>
                <w:sz w:val="18"/>
                <w:szCs w:val="18"/>
              </w:rPr>
            </w:pPr>
          </w:p>
        </w:tc>
        <w:tc>
          <w:tcPr>
            <w:tcW w:w="1271" w:type="dxa"/>
          </w:tcPr>
          <w:p w14:paraId="7EA9BF89" w14:textId="77777777" w:rsidR="00F84E60" w:rsidRPr="00E96850" w:rsidRDefault="00F84E60" w:rsidP="006045E2">
            <w:pPr>
              <w:pStyle w:val="BodyText"/>
              <w:spacing w:before="0" w:after="0"/>
              <w:rPr>
                <w:sz w:val="18"/>
                <w:szCs w:val="18"/>
              </w:rPr>
            </w:pPr>
            <w:r w:rsidRPr="00E96850">
              <w:rPr>
                <w:sz w:val="18"/>
                <w:szCs w:val="18"/>
              </w:rPr>
              <w:t>Duties</w:t>
            </w:r>
          </w:p>
        </w:tc>
        <w:tc>
          <w:tcPr>
            <w:tcW w:w="236" w:type="dxa"/>
          </w:tcPr>
          <w:p w14:paraId="5125F0E4" w14:textId="77777777" w:rsidR="00F84E60" w:rsidRPr="00E96850" w:rsidRDefault="00F84E60" w:rsidP="006045E2">
            <w:pPr>
              <w:pStyle w:val="BodyText"/>
              <w:spacing w:before="0" w:after="0"/>
              <w:rPr>
                <w:sz w:val="18"/>
                <w:szCs w:val="18"/>
              </w:rPr>
            </w:pPr>
          </w:p>
        </w:tc>
        <w:tc>
          <w:tcPr>
            <w:tcW w:w="280" w:type="dxa"/>
            <w:tcBorders>
              <w:top w:val="single" w:sz="4" w:space="0" w:color="auto"/>
            </w:tcBorders>
          </w:tcPr>
          <w:p w14:paraId="37973A10" w14:textId="77777777" w:rsidR="00F84E60" w:rsidRPr="00E96850" w:rsidRDefault="00F84E60" w:rsidP="006045E2">
            <w:pPr>
              <w:pStyle w:val="BodyText"/>
              <w:spacing w:before="0" w:after="0"/>
              <w:rPr>
                <w:sz w:val="18"/>
                <w:szCs w:val="18"/>
              </w:rPr>
            </w:pPr>
          </w:p>
        </w:tc>
        <w:tc>
          <w:tcPr>
            <w:tcW w:w="1260" w:type="dxa"/>
            <w:tcBorders>
              <w:left w:val="nil"/>
            </w:tcBorders>
          </w:tcPr>
          <w:p w14:paraId="3F9B4C7B" w14:textId="77777777" w:rsidR="00F84E60" w:rsidRPr="00E96850" w:rsidRDefault="00F84E60" w:rsidP="006045E2">
            <w:pPr>
              <w:pStyle w:val="BodyText"/>
              <w:spacing w:before="0" w:after="0"/>
              <w:rPr>
                <w:sz w:val="18"/>
                <w:szCs w:val="18"/>
              </w:rPr>
            </w:pPr>
            <w:r w:rsidRPr="00E96850">
              <w:rPr>
                <w:sz w:val="18"/>
                <w:szCs w:val="18"/>
              </w:rPr>
              <w:t>Planning</w:t>
            </w:r>
          </w:p>
        </w:tc>
        <w:tc>
          <w:tcPr>
            <w:tcW w:w="270" w:type="dxa"/>
            <w:tcBorders>
              <w:left w:val="nil"/>
            </w:tcBorders>
          </w:tcPr>
          <w:p w14:paraId="43D1EE43" w14:textId="77777777" w:rsidR="00F84E60" w:rsidRPr="00E96850" w:rsidRDefault="00F84E60" w:rsidP="006045E2">
            <w:pPr>
              <w:pStyle w:val="BodyText"/>
              <w:spacing w:before="0" w:after="0"/>
              <w:rPr>
                <w:sz w:val="18"/>
                <w:szCs w:val="18"/>
              </w:rPr>
            </w:pPr>
          </w:p>
        </w:tc>
        <w:tc>
          <w:tcPr>
            <w:tcW w:w="270" w:type="dxa"/>
            <w:tcBorders>
              <w:top w:val="single" w:sz="4" w:space="0" w:color="auto"/>
              <w:left w:val="nil"/>
            </w:tcBorders>
          </w:tcPr>
          <w:p w14:paraId="67AE6989" w14:textId="77777777" w:rsidR="00F84E60" w:rsidRPr="00E96850" w:rsidRDefault="00F84E60" w:rsidP="006045E2">
            <w:pPr>
              <w:pStyle w:val="BodyText"/>
              <w:spacing w:before="0" w:after="0"/>
              <w:rPr>
                <w:sz w:val="18"/>
                <w:szCs w:val="18"/>
              </w:rPr>
            </w:pPr>
          </w:p>
        </w:tc>
        <w:tc>
          <w:tcPr>
            <w:tcW w:w="990" w:type="dxa"/>
            <w:tcBorders>
              <w:left w:val="nil"/>
            </w:tcBorders>
          </w:tcPr>
          <w:p w14:paraId="2913ADDF" w14:textId="77777777" w:rsidR="00F84E60" w:rsidRPr="00E96850" w:rsidRDefault="00F84E60" w:rsidP="006045E2">
            <w:pPr>
              <w:pStyle w:val="BodyText"/>
              <w:spacing w:before="0" w:after="0"/>
              <w:rPr>
                <w:sz w:val="18"/>
                <w:szCs w:val="18"/>
              </w:rPr>
            </w:pPr>
            <w:r>
              <w:rPr>
                <w:sz w:val="18"/>
                <w:szCs w:val="18"/>
              </w:rPr>
              <w:t>Process</w:t>
            </w:r>
          </w:p>
        </w:tc>
      </w:tr>
    </w:tbl>
    <w:p w14:paraId="330F2811" w14:textId="77777777" w:rsidR="0046489B" w:rsidRPr="00B42992" w:rsidRDefault="00BB16D3" w:rsidP="007B6B35">
      <w:pPr>
        <w:pStyle w:val="BodyText"/>
        <w:spacing w:before="240" w:after="120"/>
        <w:outlineLvl w:val="0"/>
        <w:rPr>
          <w:b/>
          <w:i/>
        </w:rPr>
      </w:pPr>
      <w:r>
        <w:rPr>
          <w:b/>
          <w:i/>
        </w:rPr>
        <w:t>IT-</w:t>
      </w:r>
      <w:r w:rsidR="00D85A96" w:rsidRPr="00B42992">
        <w:rPr>
          <w:b/>
          <w:i/>
        </w:rPr>
        <w:t>Related Deficiency</w:t>
      </w:r>
      <w:r w:rsidR="0046489B" w:rsidRPr="00B42992">
        <w:rPr>
          <w:b/>
          <w:i/>
        </w:rPr>
        <w:t xml:space="preserve">: </w:t>
      </w:r>
    </w:p>
    <w:tbl>
      <w:tblPr>
        <w:tblW w:w="5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
        <w:gridCol w:w="1176"/>
        <w:gridCol w:w="229"/>
        <w:gridCol w:w="229"/>
        <w:gridCol w:w="1009"/>
        <w:gridCol w:w="233"/>
        <w:gridCol w:w="396"/>
        <w:gridCol w:w="1541"/>
      </w:tblGrid>
      <w:tr w:rsidR="0046489B" w:rsidRPr="00B42992" w14:paraId="257D22AF" w14:textId="77777777" w:rsidTr="00B03648">
        <w:trPr>
          <w:trHeight w:val="188"/>
        </w:trPr>
        <w:tc>
          <w:tcPr>
            <w:tcW w:w="231" w:type="dxa"/>
          </w:tcPr>
          <w:p w14:paraId="6780E6F8" w14:textId="77777777" w:rsidR="0046489B" w:rsidRPr="00B42992" w:rsidRDefault="00496285" w:rsidP="007B6B35">
            <w:pPr>
              <w:pStyle w:val="BodyText"/>
              <w:spacing w:before="0" w:after="0"/>
              <w:rPr>
                <w:sz w:val="18"/>
                <w:szCs w:val="18"/>
              </w:rPr>
            </w:pPr>
            <w:r w:rsidRPr="002D7775">
              <w:rPr>
                <w:rFonts w:ascii="Webdings" w:hAnsi="Webdings"/>
                <w:sz w:val="18"/>
                <w:szCs w:val="22"/>
              </w:rPr>
              <w:t></w:t>
            </w:r>
          </w:p>
        </w:tc>
        <w:tc>
          <w:tcPr>
            <w:tcW w:w="1176" w:type="dxa"/>
            <w:tcBorders>
              <w:top w:val="nil"/>
              <w:bottom w:val="nil"/>
              <w:right w:val="nil"/>
            </w:tcBorders>
          </w:tcPr>
          <w:p w14:paraId="5729AD48" w14:textId="77777777" w:rsidR="0046489B" w:rsidRPr="00B42992" w:rsidRDefault="0046489B" w:rsidP="007B6B35">
            <w:pPr>
              <w:pStyle w:val="BodyText"/>
              <w:spacing w:before="0" w:after="0"/>
              <w:rPr>
                <w:sz w:val="18"/>
                <w:szCs w:val="18"/>
              </w:rPr>
            </w:pPr>
            <w:r w:rsidRPr="00B42992">
              <w:rPr>
                <w:sz w:val="18"/>
                <w:szCs w:val="18"/>
              </w:rPr>
              <w:t>Functionality</w:t>
            </w:r>
          </w:p>
        </w:tc>
        <w:tc>
          <w:tcPr>
            <w:tcW w:w="231" w:type="dxa"/>
            <w:tcBorders>
              <w:top w:val="nil"/>
              <w:left w:val="nil"/>
              <w:bottom w:val="nil"/>
            </w:tcBorders>
          </w:tcPr>
          <w:p w14:paraId="74E9804A" w14:textId="77777777" w:rsidR="0046489B" w:rsidRPr="00B42992" w:rsidRDefault="0046489B" w:rsidP="007B6B35">
            <w:pPr>
              <w:pStyle w:val="BodyText"/>
              <w:spacing w:before="0" w:after="0"/>
              <w:rPr>
                <w:sz w:val="18"/>
                <w:szCs w:val="18"/>
              </w:rPr>
            </w:pPr>
          </w:p>
        </w:tc>
        <w:tc>
          <w:tcPr>
            <w:tcW w:w="231" w:type="dxa"/>
          </w:tcPr>
          <w:p w14:paraId="3CEB8E9E" w14:textId="77777777" w:rsidR="0046489B" w:rsidRPr="00B42992" w:rsidRDefault="0046489B" w:rsidP="007B6B35">
            <w:pPr>
              <w:pStyle w:val="BodyText"/>
              <w:spacing w:before="0" w:after="0"/>
              <w:rPr>
                <w:sz w:val="18"/>
                <w:szCs w:val="18"/>
              </w:rPr>
            </w:pPr>
          </w:p>
        </w:tc>
        <w:tc>
          <w:tcPr>
            <w:tcW w:w="1061" w:type="dxa"/>
            <w:tcBorders>
              <w:top w:val="nil"/>
              <w:bottom w:val="nil"/>
              <w:right w:val="nil"/>
            </w:tcBorders>
          </w:tcPr>
          <w:p w14:paraId="33CB276E" w14:textId="77777777" w:rsidR="0046489B" w:rsidRPr="00B42992" w:rsidRDefault="0046489B" w:rsidP="007B6B35">
            <w:pPr>
              <w:pStyle w:val="BodyText"/>
              <w:spacing w:before="0" w:after="0"/>
              <w:rPr>
                <w:sz w:val="18"/>
                <w:szCs w:val="18"/>
              </w:rPr>
            </w:pPr>
            <w:r w:rsidRPr="00B42992">
              <w:rPr>
                <w:sz w:val="18"/>
                <w:szCs w:val="18"/>
              </w:rPr>
              <w:t>Security</w:t>
            </w:r>
          </w:p>
        </w:tc>
        <w:tc>
          <w:tcPr>
            <w:tcW w:w="236" w:type="dxa"/>
            <w:tcBorders>
              <w:top w:val="nil"/>
              <w:left w:val="nil"/>
              <w:bottom w:val="nil"/>
            </w:tcBorders>
          </w:tcPr>
          <w:p w14:paraId="13B46D3F" w14:textId="77777777" w:rsidR="0046489B" w:rsidRPr="00B42992" w:rsidRDefault="0046489B" w:rsidP="007B6B35">
            <w:pPr>
              <w:pStyle w:val="BodyText"/>
              <w:spacing w:before="0" w:after="0"/>
              <w:rPr>
                <w:sz w:val="18"/>
                <w:szCs w:val="18"/>
              </w:rPr>
            </w:pPr>
          </w:p>
        </w:tc>
        <w:tc>
          <w:tcPr>
            <w:tcW w:w="292" w:type="dxa"/>
          </w:tcPr>
          <w:p w14:paraId="0BCFCBE7" w14:textId="77777777" w:rsidR="0046489B" w:rsidRPr="00B42992" w:rsidRDefault="00496285" w:rsidP="007B6B35">
            <w:pPr>
              <w:pStyle w:val="BodyText"/>
              <w:spacing w:before="0" w:after="0"/>
              <w:rPr>
                <w:sz w:val="18"/>
                <w:szCs w:val="18"/>
              </w:rPr>
            </w:pPr>
            <w:r w:rsidRPr="002D7775">
              <w:rPr>
                <w:rFonts w:ascii="Webdings" w:hAnsi="Webdings"/>
                <w:sz w:val="18"/>
                <w:szCs w:val="22"/>
              </w:rPr>
              <w:t></w:t>
            </w:r>
          </w:p>
        </w:tc>
        <w:tc>
          <w:tcPr>
            <w:tcW w:w="1751" w:type="dxa"/>
            <w:tcBorders>
              <w:top w:val="nil"/>
              <w:bottom w:val="nil"/>
              <w:right w:val="nil"/>
            </w:tcBorders>
          </w:tcPr>
          <w:p w14:paraId="3DCE115E" w14:textId="77777777" w:rsidR="00B03648" w:rsidRPr="00B42992" w:rsidRDefault="00BB16D3" w:rsidP="007B6B35">
            <w:pPr>
              <w:pStyle w:val="BodyText"/>
              <w:spacing w:before="0" w:after="0"/>
              <w:rPr>
                <w:sz w:val="18"/>
                <w:szCs w:val="18"/>
              </w:rPr>
            </w:pPr>
            <w:r>
              <w:rPr>
                <w:sz w:val="18"/>
                <w:szCs w:val="18"/>
              </w:rPr>
              <w:t>Process</w:t>
            </w:r>
            <w:r w:rsidR="002C270A" w:rsidRPr="00B42992">
              <w:rPr>
                <w:sz w:val="18"/>
                <w:szCs w:val="18"/>
              </w:rPr>
              <w:t xml:space="preserve"> </w:t>
            </w:r>
            <w:r w:rsidR="00B03648" w:rsidRPr="00B42992">
              <w:rPr>
                <w:sz w:val="18"/>
                <w:szCs w:val="18"/>
              </w:rPr>
              <w:t>Design</w:t>
            </w:r>
          </w:p>
        </w:tc>
      </w:tr>
    </w:tbl>
    <w:p w14:paraId="4CA85DC1" w14:textId="5AA8DE19" w:rsidR="005435E1" w:rsidRPr="00BB16D3" w:rsidRDefault="00D565A1" w:rsidP="00BB16D3">
      <w:pPr>
        <w:pStyle w:val="BodyText"/>
        <w:spacing w:before="240" w:after="240"/>
        <w:ind w:left="2250" w:hanging="2250"/>
        <w:rPr>
          <w:b/>
          <w:szCs w:val="22"/>
        </w:rPr>
      </w:pPr>
      <w:r>
        <w:rPr>
          <w:b/>
          <w:szCs w:val="22"/>
        </w:rPr>
        <w:t xml:space="preserve">Weakness </w:t>
      </w:r>
      <w:r w:rsidR="0021334F" w:rsidRPr="00BB16D3">
        <w:rPr>
          <w:b/>
          <w:szCs w:val="22"/>
        </w:rPr>
        <w:t>Reference</w:t>
      </w:r>
      <w:r w:rsidR="00506166">
        <w:rPr>
          <w:b/>
          <w:szCs w:val="22"/>
        </w:rPr>
        <w:t>(s)</w:t>
      </w:r>
      <w:r w:rsidR="0021334F" w:rsidRPr="00BB16D3">
        <w:rPr>
          <w:b/>
          <w:szCs w:val="22"/>
        </w:rPr>
        <w:t>:</w:t>
      </w:r>
      <w:r w:rsidR="009877D3" w:rsidRPr="00BB16D3">
        <w:rPr>
          <w:b/>
          <w:szCs w:val="22"/>
        </w:rPr>
        <w:tab/>
      </w:r>
      <w:r w:rsidR="00AE5E50">
        <w:rPr>
          <w:szCs w:val="22"/>
        </w:rPr>
        <w:t>2.13.2.</w:t>
      </w:r>
      <w:r>
        <w:rPr>
          <w:szCs w:val="22"/>
        </w:rPr>
        <w:t>CRT</w:t>
      </w:r>
      <w:r w:rsidR="00AE5E50">
        <w:rPr>
          <w:szCs w:val="22"/>
        </w:rPr>
        <w:t>.3.CM.01</w:t>
      </w:r>
      <w:r w:rsidR="00DD1DC5">
        <w:rPr>
          <w:szCs w:val="22"/>
        </w:rPr>
        <w:t>, 2.13.2.</w:t>
      </w:r>
      <w:r>
        <w:rPr>
          <w:szCs w:val="22"/>
        </w:rPr>
        <w:t>CRT</w:t>
      </w:r>
      <w:r w:rsidR="00DD1DC5">
        <w:rPr>
          <w:szCs w:val="22"/>
        </w:rPr>
        <w:t>.3.C</w:t>
      </w:r>
      <w:bookmarkStart w:id="1" w:name="_GoBack"/>
      <w:bookmarkEnd w:id="1"/>
      <w:r w:rsidR="00DD1DC5">
        <w:rPr>
          <w:szCs w:val="22"/>
        </w:rPr>
        <w:t>M.02</w:t>
      </w:r>
    </w:p>
    <w:p w14:paraId="72218835" w14:textId="52E31BA6" w:rsidR="00890645" w:rsidRPr="00BB16D3" w:rsidRDefault="00F95D23" w:rsidP="00BB16D3">
      <w:pPr>
        <w:pStyle w:val="BodyText"/>
        <w:spacing w:before="240" w:after="240"/>
        <w:ind w:left="2250" w:hanging="2250"/>
        <w:rPr>
          <w:b/>
          <w:szCs w:val="22"/>
        </w:rPr>
      </w:pPr>
      <w:r w:rsidRPr="00BB16D3">
        <w:rPr>
          <w:b/>
          <w:szCs w:val="22"/>
        </w:rPr>
        <w:t>Title:</w:t>
      </w:r>
      <w:bookmarkStart w:id="2" w:name="OLE_LINK3"/>
      <w:bookmarkStart w:id="3" w:name="OLE_LINK4"/>
      <w:r w:rsidRPr="00BB16D3">
        <w:rPr>
          <w:b/>
          <w:szCs w:val="22"/>
        </w:rPr>
        <w:tab/>
      </w:r>
      <w:bookmarkEnd w:id="2"/>
      <w:bookmarkEnd w:id="3"/>
      <w:r w:rsidR="00260D4A">
        <w:rPr>
          <w:szCs w:val="22"/>
        </w:rPr>
        <w:t xml:space="preserve">Lack of Controls to Validate Completeness and Integrity of Changes Deployed to Production for the </w:t>
      </w:r>
      <w:r w:rsidR="00D565A1">
        <w:rPr>
          <w:szCs w:val="22"/>
        </w:rPr>
        <w:t>CRT system</w:t>
      </w:r>
    </w:p>
    <w:p w14:paraId="0B7343F5" w14:textId="77777777" w:rsidR="00E9739A" w:rsidRPr="00C03C24" w:rsidRDefault="0046489B" w:rsidP="005C3EAE">
      <w:pPr>
        <w:keepNext/>
        <w:outlineLvl w:val="0"/>
        <w:rPr>
          <w:b/>
        </w:rPr>
      </w:pPr>
      <w:r w:rsidRPr="00C03C24">
        <w:rPr>
          <w:b/>
          <w:u w:val="single"/>
        </w:rPr>
        <w:t>BACKGROUND:</w:t>
      </w:r>
      <w:r w:rsidR="007657B6" w:rsidRPr="00C03C24">
        <w:rPr>
          <w:b/>
          <w:u w:val="single"/>
        </w:rPr>
        <w:t xml:space="preserve"> </w:t>
      </w:r>
    </w:p>
    <w:p w14:paraId="6002B44A" w14:textId="2BDABB3B" w:rsidR="00BB570D" w:rsidRDefault="00BB570D" w:rsidP="0008078E">
      <w:r w:rsidRPr="00C03C24">
        <w:t xml:space="preserve">As part of the </w:t>
      </w:r>
      <w:r w:rsidR="00D565A1">
        <w:t>SmartThink Fiscal Year (FY) 2015</w:t>
      </w:r>
      <w:r>
        <w:t xml:space="preserve"> i</w:t>
      </w:r>
      <w:r w:rsidRPr="00C03C24">
        <w:t xml:space="preserve">ntegrated </w:t>
      </w:r>
      <w:r>
        <w:t>a</w:t>
      </w:r>
      <w:r w:rsidRPr="00C03C24">
        <w:t xml:space="preserve">udit, we tested key information technology (IT) controls including </w:t>
      </w:r>
      <w:r>
        <w:t xml:space="preserve">controls around configuration management (CM) for </w:t>
      </w:r>
      <w:r w:rsidR="00D565A1">
        <w:t>CRT</w:t>
      </w:r>
      <w:r w:rsidRPr="00C03C24">
        <w:t>.</w:t>
      </w:r>
      <w:r>
        <w:t xml:space="preserve"> CM </w:t>
      </w:r>
      <w:r w:rsidRPr="00C03C24">
        <w:t xml:space="preserve">is a critical control element for </w:t>
      </w:r>
      <w:r w:rsidR="00D565A1">
        <w:t>SMARTTHINK</w:t>
      </w:r>
      <w:r w:rsidRPr="00C03C24">
        <w:t>, both from a financial processing perspective and an operational perspective.</w:t>
      </w:r>
    </w:p>
    <w:p w14:paraId="62CB741D" w14:textId="0C26E1C1" w:rsidR="008D3984" w:rsidRDefault="00E8453B" w:rsidP="008D3984">
      <w:pPr>
        <w:tabs>
          <w:tab w:val="left" w:pos="-1440"/>
          <w:tab w:val="left" w:pos="-720"/>
          <w:tab w:val="left" w:pos="0"/>
          <w:tab w:val="left" w:pos="115"/>
          <w:tab w:val="left" w:pos="720"/>
          <w:tab w:val="left" w:pos="1152"/>
          <w:tab w:val="left" w:pos="1440"/>
          <w:tab w:val="left" w:pos="1872"/>
          <w:tab w:val="left" w:pos="2160"/>
        </w:tabs>
        <w:suppressAutoHyphens/>
        <w:rPr>
          <w:rFonts w:eastAsiaTheme="minorHAnsi"/>
          <w:color w:val="000000"/>
          <w:szCs w:val="22"/>
        </w:rPr>
      </w:pPr>
      <w:r>
        <w:rPr>
          <w:rFonts w:eastAsiaTheme="minorHAnsi"/>
          <w:color w:val="000000"/>
          <w:szCs w:val="22"/>
        </w:rPr>
        <w:t>In FY 2017</w:t>
      </w:r>
      <w:r w:rsidR="008D3984">
        <w:rPr>
          <w:rFonts w:eastAsiaTheme="minorHAnsi"/>
          <w:color w:val="000000"/>
          <w:szCs w:val="22"/>
        </w:rPr>
        <w:t>, we</w:t>
      </w:r>
      <w:r>
        <w:rPr>
          <w:rFonts w:eastAsiaTheme="minorHAnsi"/>
          <w:color w:val="000000"/>
          <w:szCs w:val="22"/>
        </w:rPr>
        <w:t xml:space="preserve"> issued </w:t>
      </w:r>
      <w:r w:rsidR="00D565A1" w:rsidRPr="00D565A1">
        <w:rPr>
          <w:rFonts w:eastAsiaTheme="minorHAnsi"/>
          <w:color w:val="000000"/>
          <w:szCs w:val="22"/>
        </w:rPr>
        <w:t>IT-15-25</w:t>
      </w:r>
      <w:r w:rsidR="008D3984">
        <w:rPr>
          <w:rFonts w:eastAsiaTheme="minorHAnsi"/>
          <w:color w:val="000000"/>
          <w:szCs w:val="22"/>
        </w:rPr>
        <w:t>, which noted</w:t>
      </w:r>
      <w:r w:rsidR="008D3984" w:rsidRPr="002360A7">
        <w:rPr>
          <w:rFonts w:eastAsiaTheme="minorHAnsi"/>
          <w:color w:val="000000"/>
          <w:szCs w:val="22"/>
        </w:rPr>
        <w:t xml:space="preserve"> </w:t>
      </w:r>
      <w:r w:rsidR="00D565A1">
        <w:rPr>
          <w:rFonts w:eastAsiaTheme="minorHAnsi"/>
          <w:color w:val="000000"/>
          <w:szCs w:val="22"/>
        </w:rPr>
        <w:t>CRT</w:t>
      </w:r>
      <w:r>
        <w:rPr>
          <w:rFonts w:eastAsiaTheme="minorHAnsi"/>
          <w:color w:val="000000"/>
          <w:szCs w:val="22"/>
        </w:rPr>
        <w:t xml:space="preserve"> management did not have</w:t>
      </w:r>
      <w:r w:rsidR="008D3984" w:rsidRPr="002360A7">
        <w:rPr>
          <w:rFonts w:eastAsiaTheme="minorHAnsi"/>
          <w:color w:val="000000"/>
          <w:szCs w:val="22"/>
        </w:rPr>
        <w:t xml:space="preserve"> </w:t>
      </w:r>
      <w:r w:rsidRPr="009218F8">
        <w:rPr>
          <w:szCs w:val="22"/>
        </w:rPr>
        <w:t xml:space="preserve">automated mechanisms implemented to detect, log, and maintain auditable records of all implemented changes to </w:t>
      </w:r>
      <w:r w:rsidR="00D565A1">
        <w:rPr>
          <w:szCs w:val="22"/>
        </w:rPr>
        <w:t>CRT</w:t>
      </w:r>
      <w:r w:rsidRPr="009218F8">
        <w:rPr>
          <w:szCs w:val="22"/>
        </w:rPr>
        <w:t xml:space="preserve"> to ensure that movements of code into the production environments were appropriately controlled and limited to </w:t>
      </w:r>
      <w:r w:rsidR="00D1449C">
        <w:rPr>
          <w:szCs w:val="22"/>
        </w:rPr>
        <w:t>those authorized in the change management process</w:t>
      </w:r>
      <w:r w:rsidR="00F6704A">
        <w:rPr>
          <w:rFonts w:eastAsiaTheme="minorHAnsi"/>
          <w:color w:val="000000"/>
          <w:szCs w:val="22"/>
        </w:rPr>
        <w:t xml:space="preserve"> Although </w:t>
      </w:r>
      <w:r w:rsidR="00416075">
        <w:rPr>
          <w:rFonts w:eastAsiaTheme="minorHAnsi"/>
          <w:color w:val="000000"/>
          <w:szCs w:val="22"/>
        </w:rPr>
        <w:t>CRT</w:t>
      </w:r>
      <w:r w:rsidR="00F6704A">
        <w:rPr>
          <w:rFonts w:eastAsiaTheme="minorHAnsi"/>
          <w:color w:val="000000"/>
          <w:szCs w:val="22"/>
        </w:rPr>
        <w:t xml:space="preserve"> has established the process for implementing audit logging, the audit logs only capture major system configuration changes to the </w:t>
      </w:r>
      <w:r w:rsidR="00EF546C">
        <w:rPr>
          <w:rFonts w:eastAsiaTheme="minorHAnsi"/>
          <w:color w:val="000000"/>
          <w:szCs w:val="22"/>
        </w:rPr>
        <w:t xml:space="preserve">database and application level and not all configuration changes on the </w:t>
      </w:r>
      <w:r w:rsidR="00DD1DC5">
        <w:rPr>
          <w:rFonts w:eastAsiaTheme="minorHAnsi"/>
          <w:color w:val="000000"/>
          <w:szCs w:val="22"/>
        </w:rPr>
        <w:t xml:space="preserve">three levels (application, database, and operating system). </w:t>
      </w:r>
    </w:p>
    <w:p w14:paraId="323278B1" w14:textId="77777777" w:rsidR="00542E40" w:rsidRPr="00BE1B14" w:rsidRDefault="009A7725" w:rsidP="0008078E">
      <w:pPr>
        <w:tabs>
          <w:tab w:val="left" w:pos="-1440"/>
          <w:tab w:val="left" w:pos="-720"/>
          <w:tab w:val="left" w:pos="0"/>
          <w:tab w:val="left" w:pos="115"/>
          <w:tab w:val="left" w:pos="720"/>
          <w:tab w:val="left" w:pos="1152"/>
          <w:tab w:val="left" w:pos="1440"/>
          <w:tab w:val="left" w:pos="1872"/>
          <w:tab w:val="left" w:pos="2160"/>
        </w:tabs>
        <w:suppressAutoHyphens/>
        <w:rPr>
          <w:b/>
          <w:u w:val="single"/>
        </w:rPr>
      </w:pPr>
      <w:r w:rsidRPr="00BE1B14">
        <w:rPr>
          <w:b/>
          <w:u w:val="single"/>
        </w:rPr>
        <w:t>CRITERIA:</w:t>
      </w:r>
    </w:p>
    <w:p w14:paraId="554CF751" w14:textId="40FF4CA6" w:rsidR="0097171F" w:rsidRPr="00BE1B14" w:rsidRDefault="00416075" w:rsidP="0008078E">
      <w:pPr>
        <w:pStyle w:val="ListBullet"/>
        <w:numPr>
          <w:ilvl w:val="0"/>
          <w:numId w:val="0"/>
        </w:numPr>
        <w:rPr>
          <w:szCs w:val="22"/>
        </w:rPr>
      </w:pPr>
      <w:r>
        <w:rPr>
          <w:b/>
          <w:bCs/>
          <w:szCs w:val="22"/>
        </w:rPr>
        <w:t>SmartThink</w:t>
      </w:r>
      <w:r w:rsidR="0097171F" w:rsidRPr="00BE1B14">
        <w:rPr>
          <w:b/>
          <w:bCs/>
          <w:szCs w:val="22"/>
        </w:rPr>
        <w:t xml:space="preserve"> Systems Po</w:t>
      </w:r>
      <w:r w:rsidR="008E79A6">
        <w:rPr>
          <w:b/>
          <w:bCs/>
          <w:szCs w:val="22"/>
        </w:rPr>
        <w:t>licy Directive Version 1</w:t>
      </w:r>
      <w:r>
        <w:rPr>
          <w:b/>
          <w:bCs/>
          <w:szCs w:val="22"/>
        </w:rPr>
        <w:t>1</w:t>
      </w:r>
      <w:r w:rsidR="0097171F" w:rsidRPr="00BE1B14">
        <w:rPr>
          <w:b/>
          <w:bCs/>
          <w:szCs w:val="22"/>
        </w:rPr>
        <w:t>,</w:t>
      </w:r>
      <w:r>
        <w:rPr>
          <w:b/>
          <w:bCs/>
          <w:szCs w:val="22"/>
        </w:rPr>
        <w:t xml:space="preserve"> dated July 27, 2014 section 2.6 and 3.3 </w:t>
      </w:r>
      <w:r w:rsidR="0097171F" w:rsidRPr="00416075">
        <w:rPr>
          <w:b/>
          <w:bCs/>
          <w:szCs w:val="22"/>
        </w:rPr>
        <w:t>states:</w:t>
      </w:r>
      <w:r w:rsidR="0097171F" w:rsidRPr="00BE1B14">
        <w:rPr>
          <w:szCs w:val="22"/>
        </w:rPr>
        <w:t xml:space="preserve"> </w:t>
      </w:r>
    </w:p>
    <w:p w14:paraId="04B8B02D" w14:textId="77777777" w:rsidR="0097171F" w:rsidRPr="00BE1B14" w:rsidRDefault="0097171F" w:rsidP="0008078E">
      <w:pPr>
        <w:pStyle w:val="ListBullet"/>
        <w:numPr>
          <w:ilvl w:val="0"/>
          <w:numId w:val="0"/>
        </w:numPr>
        <w:rPr>
          <w:szCs w:val="22"/>
        </w:rPr>
      </w:pPr>
    </w:p>
    <w:p w14:paraId="3C4B6858" w14:textId="769D52CF" w:rsidR="0097171F" w:rsidRDefault="00416075" w:rsidP="0008078E">
      <w:pPr>
        <w:pStyle w:val="ListBullet"/>
        <w:numPr>
          <w:ilvl w:val="0"/>
          <w:numId w:val="0"/>
        </w:numPr>
        <w:rPr>
          <w:szCs w:val="22"/>
        </w:rPr>
      </w:pPr>
      <w:r>
        <w:rPr>
          <w:rFonts w:eastAsiaTheme="minorHAnsi"/>
          <w:color w:val="000000"/>
          <w:szCs w:val="22"/>
          <w:u w:val="single"/>
        </w:rPr>
        <w:t>Policy 2.6</w:t>
      </w:r>
      <w:r w:rsidR="00EB3ED9" w:rsidRPr="00646090">
        <w:rPr>
          <w:rFonts w:eastAsiaTheme="minorHAnsi"/>
          <w:color w:val="000000"/>
          <w:szCs w:val="22"/>
          <w:u w:val="single"/>
        </w:rPr>
        <w:t>:</w:t>
      </w:r>
      <w:r w:rsidR="00EB3ED9">
        <w:rPr>
          <w:szCs w:val="22"/>
        </w:rPr>
        <w:t xml:space="preserve"> </w:t>
      </w:r>
      <w:r w:rsidR="0097171F" w:rsidRPr="00BE1B14">
        <w:rPr>
          <w:szCs w:val="22"/>
        </w:rPr>
        <w:t>System Owners shall document the initial system configuration in detail and control all subsequent changes in accordance with the CM process.</w:t>
      </w:r>
    </w:p>
    <w:p w14:paraId="33EEC213" w14:textId="7E09A18A" w:rsidR="00EB3ED9" w:rsidRPr="00EB3ED9" w:rsidRDefault="00416075" w:rsidP="00EB3ED9">
      <w:pPr>
        <w:autoSpaceDE w:val="0"/>
        <w:autoSpaceDN w:val="0"/>
        <w:adjustRightInd w:val="0"/>
        <w:spacing w:after="216"/>
        <w:rPr>
          <w:rFonts w:eastAsiaTheme="minorHAnsi"/>
          <w:color w:val="000000"/>
          <w:szCs w:val="22"/>
        </w:rPr>
      </w:pPr>
      <w:r>
        <w:rPr>
          <w:rFonts w:eastAsiaTheme="minorHAnsi"/>
          <w:color w:val="000000"/>
          <w:szCs w:val="22"/>
          <w:u w:val="single"/>
        </w:rPr>
        <w:lastRenderedPageBreak/>
        <w:t>Policy ID 3</w:t>
      </w:r>
      <w:r w:rsidR="00EB3ED9" w:rsidRPr="00EB3ED9">
        <w:rPr>
          <w:rFonts w:eastAsiaTheme="minorHAnsi"/>
          <w:color w:val="000000"/>
          <w:szCs w:val="22"/>
          <w:u w:val="single"/>
        </w:rPr>
        <w:t xml:space="preserve">.3.a: </w:t>
      </w:r>
      <w:r w:rsidR="00EB3ED9" w:rsidRPr="00EB3ED9">
        <w:rPr>
          <w:rFonts w:eastAsiaTheme="minorHAnsi"/>
          <w:color w:val="000000"/>
          <w:szCs w:val="22"/>
        </w:rPr>
        <w:t xml:space="preserve">Audit records shall be sufficient in detail to facilitate the reconstruction of events if compromise or malfunction occurs or is suspected. Audit records shall be reviewed as specified in the System Security Plan. The audit record shall contain at least the following information: </w:t>
      </w:r>
    </w:p>
    <w:p w14:paraId="69981F07" w14:textId="2650B86D" w:rsidR="00EB3ED9" w:rsidRPr="00EB3ED9" w:rsidRDefault="00EB3ED9" w:rsidP="00EB3ED9">
      <w:pPr>
        <w:autoSpaceDE w:val="0"/>
        <w:autoSpaceDN w:val="0"/>
        <w:adjustRightInd w:val="0"/>
        <w:spacing w:before="0" w:after="0"/>
        <w:ind w:left="340" w:hanging="340"/>
        <w:rPr>
          <w:rFonts w:eastAsiaTheme="minorHAnsi"/>
          <w:color w:val="000000"/>
          <w:szCs w:val="22"/>
        </w:rPr>
      </w:pPr>
      <w:r w:rsidRPr="00EB3ED9">
        <w:rPr>
          <w:rFonts w:eastAsiaTheme="minorHAnsi"/>
          <w:color w:val="000000"/>
          <w:szCs w:val="22"/>
        </w:rPr>
        <w:t xml:space="preserve">• Identity of each </w:t>
      </w:r>
      <w:r w:rsidR="00416075" w:rsidRPr="00EB3ED9">
        <w:rPr>
          <w:rFonts w:eastAsiaTheme="minorHAnsi"/>
          <w:color w:val="000000"/>
          <w:szCs w:val="22"/>
        </w:rPr>
        <w:t>user accessing</w:t>
      </w:r>
      <w:r w:rsidRPr="00EB3ED9">
        <w:rPr>
          <w:rFonts w:eastAsiaTheme="minorHAnsi"/>
          <w:color w:val="000000"/>
          <w:szCs w:val="22"/>
        </w:rPr>
        <w:t xml:space="preserve"> or attempting to access the system; </w:t>
      </w:r>
    </w:p>
    <w:p w14:paraId="0BEB3E5E" w14:textId="77777777" w:rsidR="00EB3ED9" w:rsidRPr="00EB3ED9" w:rsidRDefault="00EB3ED9" w:rsidP="00EB3ED9">
      <w:pPr>
        <w:autoSpaceDE w:val="0"/>
        <w:autoSpaceDN w:val="0"/>
        <w:adjustRightInd w:val="0"/>
        <w:spacing w:before="0" w:after="0"/>
        <w:ind w:left="340" w:hanging="340"/>
        <w:rPr>
          <w:rFonts w:eastAsiaTheme="minorHAnsi"/>
          <w:color w:val="000000"/>
          <w:szCs w:val="22"/>
        </w:rPr>
      </w:pPr>
      <w:r w:rsidRPr="00EB3ED9">
        <w:rPr>
          <w:rFonts w:eastAsiaTheme="minorHAnsi"/>
          <w:color w:val="000000"/>
          <w:szCs w:val="22"/>
        </w:rPr>
        <w:t xml:space="preserve">• Time and date of the access and the logoff; </w:t>
      </w:r>
    </w:p>
    <w:p w14:paraId="5AC44210" w14:textId="77777777" w:rsidR="00EB3ED9" w:rsidRPr="00EB3ED9" w:rsidRDefault="00EB3ED9" w:rsidP="00EB3ED9">
      <w:pPr>
        <w:autoSpaceDE w:val="0"/>
        <w:autoSpaceDN w:val="0"/>
        <w:adjustRightInd w:val="0"/>
        <w:spacing w:before="0" w:after="0"/>
        <w:ind w:left="340" w:hanging="340"/>
        <w:rPr>
          <w:rFonts w:eastAsiaTheme="minorHAnsi"/>
          <w:color w:val="000000"/>
          <w:szCs w:val="22"/>
        </w:rPr>
      </w:pPr>
      <w:r w:rsidRPr="00EB3ED9">
        <w:rPr>
          <w:rFonts w:eastAsiaTheme="minorHAnsi"/>
          <w:color w:val="000000"/>
          <w:szCs w:val="22"/>
        </w:rPr>
        <w:t xml:space="preserve">• Activities that might modify, bypass, or negate information security safeguards; </w:t>
      </w:r>
    </w:p>
    <w:p w14:paraId="36273635" w14:textId="77777777" w:rsidR="00EB3ED9" w:rsidRPr="00EB3ED9" w:rsidRDefault="00EB3ED9" w:rsidP="00EB3ED9">
      <w:pPr>
        <w:autoSpaceDE w:val="0"/>
        <w:autoSpaceDN w:val="0"/>
        <w:adjustRightInd w:val="0"/>
        <w:spacing w:before="0" w:after="0"/>
        <w:ind w:left="340" w:hanging="340"/>
        <w:rPr>
          <w:rFonts w:eastAsiaTheme="minorHAnsi"/>
          <w:color w:val="000000"/>
          <w:szCs w:val="22"/>
        </w:rPr>
      </w:pPr>
      <w:r w:rsidRPr="00EB3ED9">
        <w:rPr>
          <w:rFonts w:eastAsiaTheme="minorHAnsi"/>
          <w:color w:val="000000"/>
          <w:szCs w:val="22"/>
        </w:rPr>
        <w:t xml:space="preserve">• Security-relevant actions associated with processing; and </w:t>
      </w:r>
    </w:p>
    <w:p w14:paraId="1957534B" w14:textId="77777777" w:rsidR="00EB3ED9" w:rsidRPr="00EB3ED9" w:rsidRDefault="00EB3ED9" w:rsidP="00EB3ED9">
      <w:pPr>
        <w:autoSpaceDE w:val="0"/>
        <w:autoSpaceDN w:val="0"/>
        <w:adjustRightInd w:val="0"/>
        <w:spacing w:before="0" w:after="0"/>
        <w:ind w:left="340" w:hanging="340"/>
        <w:rPr>
          <w:rFonts w:eastAsiaTheme="minorHAnsi"/>
          <w:color w:val="000000"/>
          <w:szCs w:val="22"/>
        </w:rPr>
      </w:pPr>
      <w:r w:rsidRPr="00EB3ED9">
        <w:rPr>
          <w:rFonts w:eastAsiaTheme="minorHAnsi"/>
          <w:color w:val="000000"/>
          <w:szCs w:val="22"/>
        </w:rPr>
        <w:t>• All activities performed using an administrator’s identity.</w:t>
      </w:r>
    </w:p>
    <w:p w14:paraId="46231506" w14:textId="6419277A" w:rsidR="00EB3ED9" w:rsidRPr="00646090" w:rsidRDefault="00EB3ED9" w:rsidP="00EB3ED9">
      <w:pPr>
        <w:keepNext/>
        <w:jc w:val="both"/>
        <w:rPr>
          <w:b/>
          <w:bCs/>
          <w:szCs w:val="22"/>
        </w:rPr>
      </w:pPr>
      <w:r w:rsidRPr="00646090">
        <w:rPr>
          <w:b/>
          <w:bCs/>
          <w:szCs w:val="22"/>
        </w:rPr>
        <w:t xml:space="preserve">U.S. Government Accountability </w:t>
      </w:r>
      <w:r w:rsidRPr="00646090">
        <w:rPr>
          <w:b/>
          <w:bCs/>
          <w:i/>
          <w:szCs w:val="22"/>
        </w:rPr>
        <w:t xml:space="preserve">Standard for Internal Control in the Federal Government, </w:t>
      </w:r>
      <w:r w:rsidRPr="00646090">
        <w:rPr>
          <w:b/>
          <w:bCs/>
          <w:szCs w:val="22"/>
        </w:rPr>
        <w:t>da</w:t>
      </w:r>
      <w:r w:rsidR="00127321" w:rsidRPr="00341698">
        <w:rPr>
          <w:b/>
          <w:bCs/>
          <w:szCs w:val="22"/>
        </w:rPr>
        <w:t>ted September 2014, principle 16</w:t>
      </w:r>
      <w:r w:rsidRPr="00646090">
        <w:rPr>
          <w:b/>
          <w:bCs/>
          <w:szCs w:val="22"/>
        </w:rPr>
        <w:t>.02</w:t>
      </w:r>
      <w:r w:rsidR="00127321">
        <w:rPr>
          <w:b/>
          <w:bCs/>
          <w:szCs w:val="22"/>
        </w:rPr>
        <w:t xml:space="preserve"> </w:t>
      </w:r>
      <w:r w:rsidRPr="00646090">
        <w:rPr>
          <w:b/>
          <w:bCs/>
          <w:szCs w:val="22"/>
        </w:rPr>
        <w:t>states:</w:t>
      </w:r>
    </w:p>
    <w:p w14:paraId="4AEA6A89" w14:textId="77777777" w:rsidR="00341698" w:rsidRPr="00BE1B14" w:rsidRDefault="00127321" w:rsidP="00341698">
      <w:pPr>
        <w:keepNext/>
        <w:jc w:val="both"/>
        <w:rPr>
          <w:szCs w:val="22"/>
        </w:rPr>
      </w:pPr>
      <w:r>
        <w:rPr>
          <w:u w:val="single"/>
        </w:rPr>
        <w:t>Establishment of a Baseline</w:t>
      </w:r>
      <w:r w:rsidR="00EB3ED9" w:rsidRPr="001611D7">
        <w:rPr>
          <w:bCs/>
          <w:szCs w:val="22"/>
        </w:rPr>
        <w:t xml:space="preserve">: </w:t>
      </w:r>
      <w:r w:rsidR="00341698" w:rsidRPr="00646090">
        <w:rPr>
          <w:szCs w:val="22"/>
        </w:rPr>
        <w:t>Management establishes a baseline to monitor the internal control</w:t>
      </w:r>
      <w:r w:rsidR="00341698">
        <w:rPr>
          <w:szCs w:val="22"/>
        </w:rPr>
        <w:t xml:space="preserve"> </w:t>
      </w:r>
      <w:r w:rsidR="00341698" w:rsidRPr="00646090">
        <w:rPr>
          <w:szCs w:val="22"/>
        </w:rPr>
        <w:t>system. The baseline is the current state of the internal control system</w:t>
      </w:r>
      <w:r w:rsidR="00341698">
        <w:rPr>
          <w:szCs w:val="22"/>
        </w:rPr>
        <w:t xml:space="preserve"> </w:t>
      </w:r>
      <w:r w:rsidR="00341698" w:rsidRPr="00646090">
        <w:rPr>
          <w:szCs w:val="22"/>
        </w:rPr>
        <w:t>compared against management’s design of the internal control system.</w:t>
      </w:r>
      <w:r w:rsidR="00341698">
        <w:rPr>
          <w:szCs w:val="22"/>
        </w:rPr>
        <w:t xml:space="preserve"> </w:t>
      </w:r>
      <w:r w:rsidR="00341698" w:rsidRPr="00646090">
        <w:rPr>
          <w:szCs w:val="22"/>
        </w:rPr>
        <w:t>The baseline represents the difference between the criteria of the design</w:t>
      </w:r>
      <w:r w:rsidR="00341698">
        <w:rPr>
          <w:szCs w:val="22"/>
        </w:rPr>
        <w:t xml:space="preserve"> </w:t>
      </w:r>
      <w:r w:rsidR="00341698" w:rsidRPr="00646090">
        <w:rPr>
          <w:szCs w:val="22"/>
        </w:rPr>
        <w:t>of the internal control system and condition of the internal control system</w:t>
      </w:r>
      <w:r w:rsidR="00341698">
        <w:rPr>
          <w:szCs w:val="22"/>
        </w:rPr>
        <w:t xml:space="preserve"> </w:t>
      </w:r>
      <w:r w:rsidR="00341698" w:rsidRPr="00646090">
        <w:rPr>
          <w:szCs w:val="22"/>
        </w:rPr>
        <w:t>at a specific point in time. In other words, the baseline consists of issues</w:t>
      </w:r>
      <w:r w:rsidR="00341698">
        <w:rPr>
          <w:szCs w:val="22"/>
        </w:rPr>
        <w:t xml:space="preserve"> </w:t>
      </w:r>
      <w:r w:rsidR="00341698" w:rsidRPr="00646090">
        <w:rPr>
          <w:szCs w:val="22"/>
        </w:rPr>
        <w:t>and deficiencies identified in an entity’s internal control system.</w:t>
      </w:r>
    </w:p>
    <w:p w14:paraId="1E05DE11" w14:textId="77777777" w:rsidR="0097171F" w:rsidRPr="00BE1B14" w:rsidRDefault="0097171F" w:rsidP="00341698">
      <w:pPr>
        <w:keepNext/>
        <w:jc w:val="both"/>
        <w:rPr>
          <w:bCs/>
          <w:color w:val="000000"/>
          <w:szCs w:val="22"/>
        </w:rPr>
      </w:pPr>
      <w:r w:rsidRPr="00BE1B14">
        <w:rPr>
          <w:b/>
        </w:rPr>
        <w:t xml:space="preserve">National Institute of Standards and Technology (NIST) Special Publication (SP) 800-53, </w:t>
      </w:r>
      <w:r w:rsidRPr="00BE1B14">
        <w:rPr>
          <w:b/>
          <w:i/>
        </w:rPr>
        <w:t>Security and Privacy Controls for Federal Information Systems and Organizations</w:t>
      </w:r>
      <w:r w:rsidRPr="00BE1B14">
        <w:rPr>
          <w:b/>
        </w:rPr>
        <w:t>, Revision 4,</w:t>
      </w:r>
      <w:r w:rsidRPr="00BE1B14">
        <w:t xml:space="preserve"> </w:t>
      </w:r>
      <w:r w:rsidRPr="00BE1B14">
        <w:rPr>
          <w:b/>
          <w:bCs/>
          <w:color w:val="000000"/>
          <w:szCs w:val="22"/>
        </w:rPr>
        <w:t xml:space="preserve">control CM-3 </w:t>
      </w:r>
      <w:r w:rsidRPr="00BE1B14">
        <w:rPr>
          <w:bCs/>
          <w:color w:val="000000"/>
          <w:szCs w:val="22"/>
        </w:rPr>
        <w:t>states:</w:t>
      </w:r>
    </w:p>
    <w:p w14:paraId="6224F2E9" w14:textId="77777777" w:rsidR="0097171F" w:rsidRPr="00BE1B14" w:rsidRDefault="0097171F" w:rsidP="0008078E">
      <w:pPr>
        <w:pStyle w:val="ListBullet"/>
        <w:numPr>
          <w:ilvl w:val="0"/>
          <w:numId w:val="0"/>
        </w:numPr>
        <w:rPr>
          <w:bCs/>
          <w:szCs w:val="22"/>
        </w:rPr>
      </w:pPr>
      <w:r w:rsidRPr="00BE1B14">
        <w:rPr>
          <w:bCs/>
          <w:szCs w:val="22"/>
          <w:u w:val="single"/>
        </w:rPr>
        <w:t>CM-3: Configuration Change Control:</w:t>
      </w:r>
      <w:r w:rsidRPr="00BE1B14">
        <w:rPr>
          <w:bCs/>
          <w:szCs w:val="22"/>
        </w:rPr>
        <w:t xml:space="preserve"> The organization:</w:t>
      </w:r>
    </w:p>
    <w:p w14:paraId="3E87D273" w14:textId="77777777" w:rsidR="0097171F" w:rsidRPr="00BE1B14" w:rsidRDefault="0097171F" w:rsidP="0008078E">
      <w:pPr>
        <w:pStyle w:val="ListParagraph"/>
        <w:keepNext/>
        <w:numPr>
          <w:ilvl w:val="0"/>
          <w:numId w:val="25"/>
        </w:numPr>
        <w:autoSpaceDE w:val="0"/>
        <w:autoSpaceDN w:val="0"/>
        <w:adjustRightInd w:val="0"/>
        <w:spacing w:before="0" w:after="0"/>
        <w:contextualSpacing w:val="0"/>
        <w:rPr>
          <w:bCs/>
          <w:szCs w:val="22"/>
        </w:rPr>
      </w:pPr>
      <w:r w:rsidRPr="00BE1B14">
        <w:rPr>
          <w:bCs/>
          <w:szCs w:val="22"/>
        </w:rPr>
        <w:t>Retains records of configuration-controlled changes to the information system; and</w:t>
      </w:r>
    </w:p>
    <w:p w14:paraId="7BA15EA4" w14:textId="77777777" w:rsidR="0097171F" w:rsidRDefault="0097171F" w:rsidP="0008078E">
      <w:pPr>
        <w:pStyle w:val="ListParagraph"/>
        <w:keepNext/>
        <w:numPr>
          <w:ilvl w:val="0"/>
          <w:numId w:val="25"/>
        </w:numPr>
        <w:autoSpaceDE w:val="0"/>
        <w:autoSpaceDN w:val="0"/>
        <w:adjustRightInd w:val="0"/>
        <w:spacing w:before="0" w:after="0"/>
        <w:contextualSpacing w:val="0"/>
        <w:rPr>
          <w:bCs/>
          <w:szCs w:val="22"/>
        </w:rPr>
      </w:pPr>
      <w:r w:rsidRPr="00BE1B14">
        <w:rPr>
          <w:bCs/>
          <w:szCs w:val="22"/>
        </w:rPr>
        <w:t>Audits and reviews activities associated with configuration-controlled changes to the information system.</w:t>
      </w:r>
    </w:p>
    <w:p w14:paraId="78B8A3C0" w14:textId="77777777" w:rsidR="008A3D94" w:rsidRDefault="008A3D94" w:rsidP="008A3D94">
      <w:pPr>
        <w:keepNext/>
        <w:autoSpaceDE w:val="0"/>
        <w:autoSpaceDN w:val="0"/>
        <w:adjustRightInd w:val="0"/>
        <w:spacing w:before="0" w:after="0"/>
        <w:rPr>
          <w:bCs/>
          <w:szCs w:val="22"/>
        </w:rPr>
      </w:pPr>
    </w:p>
    <w:p w14:paraId="5E6EE56C" w14:textId="77777777" w:rsidR="008A3D94" w:rsidRPr="008A3D94" w:rsidRDefault="008A3D94" w:rsidP="008A3D94">
      <w:pPr>
        <w:keepNext/>
        <w:autoSpaceDE w:val="0"/>
        <w:autoSpaceDN w:val="0"/>
        <w:adjustRightInd w:val="0"/>
        <w:spacing w:before="0" w:after="0"/>
        <w:rPr>
          <w:bCs/>
          <w:szCs w:val="22"/>
        </w:rPr>
      </w:pPr>
      <w:r>
        <w:rPr>
          <w:i/>
          <w:iCs/>
          <w:szCs w:val="22"/>
        </w:rPr>
        <w:t>Control Enhancement CM-3(1)(e)</w:t>
      </w:r>
      <w:r>
        <w:rPr>
          <w:szCs w:val="22"/>
        </w:rPr>
        <w:t>: The organization employs automated mechanisms to document all changes to the information system.</w:t>
      </w:r>
    </w:p>
    <w:p w14:paraId="5F6456FE" w14:textId="77777777" w:rsidR="009A7725" w:rsidRDefault="009A7725" w:rsidP="0008078E">
      <w:pPr>
        <w:keepNext/>
        <w:rPr>
          <w:b/>
          <w:szCs w:val="22"/>
          <w:u w:val="single"/>
        </w:rPr>
      </w:pPr>
      <w:r w:rsidRPr="00BE1B14">
        <w:rPr>
          <w:b/>
          <w:szCs w:val="22"/>
          <w:u w:val="single"/>
        </w:rPr>
        <w:t>CONDITION:</w:t>
      </w:r>
    </w:p>
    <w:p w14:paraId="276A4AA8" w14:textId="1DC02140" w:rsidR="00DD1DC5" w:rsidRDefault="006C3B94" w:rsidP="0008078E">
      <w:pPr>
        <w:rPr>
          <w:szCs w:val="22"/>
        </w:rPr>
      </w:pPr>
      <w:r>
        <w:rPr>
          <w:szCs w:val="22"/>
        </w:rPr>
        <w:t>A</w:t>
      </w:r>
      <w:r w:rsidR="008B756F" w:rsidRPr="009218F8">
        <w:rPr>
          <w:szCs w:val="22"/>
        </w:rPr>
        <w:t xml:space="preserve">utomated mechanisms </w:t>
      </w:r>
      <w:r>
        <w:rPr>
          <w:szCs w:val="22"/>
        </w:rPr>
        <w:t>ar</w:t>
      </w:r>
      <w:r w:rsidRPr="009218F8">
        <w:rPr>
          <w:szCs w:val="22"/>
        </w:rPr>
        <w:t xml:space="preserve">e </w:t>
      </w:r>
      <w:r w:rsidR="008B756F" w:rsidRPr="009218F8">
        <w:rPr>
          <w:szCs w:val="22"/>
        </w:rPr>
        <w:t xml:space="preserve">not implemented to detect records of all implemented </w:t>
      </w:r>
      <w:r w:rsidR="008B0C2E" w:rsidRPr="009218F8">
        <w:rPr>
          <w:szCs w:val="22"/>
        </w:rPr>
        <w:t xml:space="preserve">changes to </w:t>
      </w:r>
      <w:r w:rsidR="00D565A1">
        <w:rPr>
          <w:szCs w:val="22"/>
        </w:rPr>
        <w:t>CRT</w:t>
      </w:r>
      <w:r w:rsidR="00EF546C">
        <w:rPr>
          <w:szCs w:val="22"/>
        </w:rPr>
        <w:t xml:space="preserve"> on the operating system, database, and application</w:t>
      </w:r>
      <w:r w:rsidR="008B0C2E" w:rsidRPr="009218F8">
        <w:rPr>
          <w:szCs w:val="22"/>
        </w:rPr>
        <w:t xml:space="preserve"> </w:t>
      </w:r>
      <w:r w:rsidR="00EF546C">
        <w:rPr>
          <w:szCs w:val="22"/>
        </w:rPr>
        <w:t xml:space="preserve">level </w:t>
      </w:r>
      <w:r w:rsidR="008B0C2E" w:rsidRPr="009218F8">
        <w:rPr>
          <w:szCs w:val="22"/>
        </w:rPr>
        <w:t xml:space="preserve">to ensure that movements of code into the production environments </w:t>
      </w:r>
      <w:r>
        <w:rPr>
          <w:szCs w:val="22"/>
        </w:rPr>
        <w:t>ar</w:t>
      </w:r>
      <w:r w:rsidRPr="009218F8">
        <w:rPr>
          <w:szCs w:val="22"/>
        </w:rPr>
        <w:t xml:space="preserve">e </w:t>
      </w:r>
      <w:r w:rsidR="008B0C2E" w:rsidRPr="009218F8">
        <w:rPr>
          <w:szCs w:val="22"/>
        </w:rPr>
        <w:t>appropriately controlled and limited to authorized changes.</w:t>
      </w:r>
      <w:r w:rsidR="008B0C2E">
        <w:rPr>
          <w:szCs w:val="22"/>
        </w:rPr>
        <w:t xml:space="preserve"> </w:t>
      </w:r>
    </w:p>
    <w:p w14:paraId="33BED697" w14:textId="7EB4A749" w:rsidR="00DD1DC5" w:rsidRDefault="00EF546C" w:rsidP="0008078E">
      <w:pPr>
        <w:rPr>
          <w:szCs w:val="22"/>
        </w:rPr>
      </w:pPr>
      <w:r>
        <w:rPr>
          <w:szCs w:val="22"/>
        </w:rPr>
        <w:t>We note</w:t>
      </w:r>
      <w:r w:rsidR="002E2E92">
        <w:rPr>
          <w:szCs w:val="22"/>
        </w:rPr>
        <w:t>d</w:t>
      </w:r>
      <w:r>
        <w:rPr>
          <w:szCs w:val="22"/>
        </w:rPr>
        <w:t xml:space="preserve"> that some logging controls, specifically at the operating system level, are inherited by </w:t>
      </w:r>
      <w:r w:rsidR="00416075">
        <w:rPr>
          <w:szCs w:val="22"/>
        </w:rPr>
        <w:t>SmartThink Datacenter (SD) 1</w:t>
      </w:r>
      <w:r>
        <w:rPr>
          <w:szCs w:val="22"/>
        </w:rPr>
        <w:t xml:space="preserve">. However, </w:t>
      </w:r>
      <w:r w:rsidR="005029AA">
        <w:rPr>
          <w:szCs w:val="22"/>
        </w:rPr>
        <w:t>weaknesses exist in the d</w:t>
      </w:r>
      <w:r w:rsidR="00416075">
        <w:rPr>
          <w:szCs w:val="22"/>
        </w:rPr>
        <w:t>esign over access controls at SD</w:t>
      </w:r>
      <w:r w:rsidR="005029AA">
        <w:rPr>
          <w:szCs w:val="22"/>
        </w:rPr>
        <w:t xml:space="preserve">1. </w:t>
      </w:r>
    </w:p>
    <w:p w14:paraId="3B3B243D" w14:textId="77777777" w:rsidR="00B71FB1" w:rsidRDefault="005029AA" w:rsidP="0008078E">
      <w:pPr>
        <w:rPr>
          <w:szCs w:val="22"/>
        </w:rPr>
      </w:pPr>
      <w:r>
        <w:rPr>
          <w:szCs w:val="22"/>
        </w:rPr>
        <w:t>Additionally, details (approvals, testing information) supporting change requests are documented using a ticketing system</w:t>
      </w:r>
      <w:r w:rsidR="006C3B94">
        <w:rPr>
          <w:szCs w:val="22"/>
        </w:rPr>
        <w:t>;</w:t>
      </w:r>
      <w:r>
        <w:rPr>
          <w:szCs w:val="22"/>
        </w:rPr>
        <w:t xml:space="preserve"> </w:t>
      </w:r>
      <w:r w:rsidR="006C3B94">
        <w:rPr>
          <w:szCs w:val="22"/>
        </w:rPr>
        <w:t>however,</w:t>
      </w:r>
      <w:r>
        <w:rPr>
          <w:szCs w:val="22"/>
        </w:rPr>
        <w:t xml:space="preserve"> the system only captures the date in which the change requests </w:t>
      </w:r>
      <w:r w:rsidR="006C3B94">
        <w:rPr>
          <w:szCs w:val="22"/>
        </w:rPr>
        <w:t xml:space="preserve">are </w:t>
      </w:r>
      <w:r>
        <w:rPr>
          <w:szCs w:val="22"/>
        </w:rPr>
        <w:t>made and closed</w:t>
      </w:r>
      <w:r w:rsidR="006C3B94">
        <w:rPr>
          <w:szCs w:val="22"/>
        </w:rPr>
        <w:t>.  The system does not capture</w:t>
      </w:r>
      <w:r>
        <w:rPr>
          <w:szCs w:val="22"/>
        </w:rPr>
        <w:t xml:space="preserve"> when </w:t>
      </w:r>
      <w:r w:rsidR="006C3B94">
        <w:rPr>
          <w:szCs w:val="22"/>
        </w:rPr>
        <w:t>change requests</w:t>
      </w:r>
      <w:r>
        <w:rPr>
          <w:szCs w:val="22"/>
        </w:rPr>
        <w:t xml:space="preserve"> are implemented </w:t>
      </w:r>
      <w:r w:rsidR="002E2E92">
        <w:rPr>
          <w:szCs w:val="22"/>
        </w:rPr>
        <w:t>in</w:t>
      </w:r>
      <w:r>
        <w:rPr>
          <w:szCs w:val="22"/>
        </w:rPr>
        <w:t xml:space="preserve">to the production environment. Changes captured by the audit logging tool do not provide </w:t>
      </w:r>
      <w:r w:rsidR="00FA3054">
        <w:rPr>
          <w:szCs w:val="22"/>
        </w:rPr>
        <w:t xml:space="preserve">detailed </w:t>
      </w:r>
      <w:r>
        <w:rPr>
          <w:szCs w:val="22"/>
        </w:rPr>
        <w:t xml:space="preserve">evidence to tie back to </w:t>
      </w:r>
      <w:r w:rsidR="00C11273">
        <w:rPr>
          <w:szCs w:val="22"/>
        </w:rPr>
        <w:t>individual</w:t>
      </w:r>
      <w:r>
        <w:rPr>
          <w:szCs w:val="22"/>
        </w:rPr>
        <w:t xml:space="preserve"> st</w:t>
      </w:r>
      <w:r w:rsidR="00C11273">
        <w:rPr>
          <w:szCs w:val="22"/>
        </w:rPr>
        <w:t>andard change request numbers to make a determination on whether they were properly authorized</w:t>
      </w:r>
      <w:r w:rsidR="00DD1DC5">
        <w:rPr>
          <w:szCs w:val="22"/>
        </w:rPr>
        <w:t xml:space="preserve"> and tested</w:t>
      </w:r>
      <w:r w:rsidR="00C11273">
        <w:rPr>
          <w:szCs w:val="22"/>
        </w:rPr>
        <w:t xml:space="preserve"> prior to implementation to the production environment. </w:t>
      </w:r>
    </w:p>
    <w:p w14:paraId="66EA19A4" w14:textId="77777777" w:rsidR="00B42992" w:rsidRDefault="009A7725" w:rsidP="0008078E">
      <w:pPr>
        <w:keepNext/>
        <w:keepLines/>
        <w:rPr>
          <w:szCs w:val="22"/>
        </w:rPr>
      </w:pPr>
      <w:r w:rsidRPr="00C03C24">
        <w:rPr>
          <w:b/>
          <w:szCs w:val="22"/>
          <w:u w:val="single"/>
        </w:rPr>
        <w:t>CAUSE</w:t>
      </w:r>
      <w:r w:rsidRPr="00C03C24">
        <w:rPr>
          <w:b/>
          <w:szCs w:val="22"/>
        </w:rPr>
        <w:t>:</w:t>
      </w:r>
      <w:r w:rsidRPr="00C03C24">
        <w:rPr>
          <w:szCs w:val="22"/>
        </w:rPr>
        <w:t xml:space="preserve">  </w:t>
      </w:r>
    </w:p>
    <w:p w14:paraId="3DE68E7B" w14:textId="6877D1DC" w:rsidR="003C7462" w:rsidRDefault="00416075" w:rsidP="003C7462">
      <w:pPr>
        <w:rPr>
          <w:szCs w:val="22"/>
        </w:rPr>
      </w:pPr>
      <w:r>
        <w:rPr>
          <w:szCs w:val="22"/>
        </w:rPr>
        <w:t xml:space="preserve">CRT </w:t>
      </w:r>
      <w:r w:rsidR="00934A0A" w:rsidRPr="00A16E60">
        <w:rPr>
          <w:szCs w:val="22"/>
        </w:rPr>
        <w:t>has</w:t>
      </w:r>
      <w:r w:rsidR="00E81D31" w:rsidRPr="00A16E60">
        <w:rPr>
          <w:szCs w:val="22"/>
        </w:rPr>
        <w:t xml:space="preserve"> </w:t>
      </w:r>
      <w:r w:rsidR="00934A0A" w:rsidRPr="00A16E60">
        <w:rPr>
          <w:szCs w:val="22"/>
        </w:rPr>
        <w:t>established the p</w:t>
      </w:r>
      <w:r w:rsidR="00E81D31" w:rsidRPr="00A16E60">
        <w:rPr>
          <w:szCs w:val="22"/>
        </w:rPr>
        <w:t xml:space="preserve">rocess </w:t>
      </w:r>
      <w:r w:rsidR="00934A0A" w:rsidRPr="00A16E60">
        <w:rPr>
          <w:szCs w:val="22"/>
        </w:rPr>
        <w:t>for implementing audit logging</w:t>
      </w:r>
      <w:r w:rsidR="003C7462" w:rsidRPr="00A16E60">
        <w:rPr>
          <w:szCs w:val="22"/>
        </w:rPr>
        <w:t>,</w:t>
      </w:r>
      <w:r w:rsidR="00E81D31" w:rsidRPr="00A16E60">
        <w:rPr>
          <w:szCs w:val="22"/>
        </w:rPr>
        <w:t xml:space="preserve"> </w:t>
      </w:r>
      <w:r w:rsidR="00934A0A" w:rsidRPr="00A16E60">
        <w:rPr>
          <w:szCs w:val="22"/>
        </w:rPr>
        <w:t>which gives</w:t>
      </w:r>
      <w:r w:rsidR="00E81D31" w:rsidRPr="00A16E60">
        <w:rPr>
          <w:szCs w:val="22"/>
        </w:rPr>
        <w:t xml:space="preserve"> management the ability to review audit log reports for financial applications in accordance with </w:t>
      </w:r>
      <w:r w:rsidR="002C7561">
        <w:rPr>
          <w:szCs w:val="22"/>
        </w:rPr>
        <w:t>SmartThink</w:t>
      </w:r>
      <w:r w:rsidR="00E81D31" w:rsidRPr="00A16E60">
        <w:rPr>
          <w:szCs w:val="22"/>
        </w:rPr>
        <w:t xml:space="preserve"> and NIST requirements</w:t>
      </w:r>
      <w:r w:rsidR="002E2E92">
        <w:rPr>
          <w:szCs w:val="22"/>
        </w:rPr>
        <w:t xml:space="preserve">, </w:t>
      </w:r>
      <w:r w:rsidR="002E2E92">
        <w:rPr>
          <w:szCs w:val="22"/>
        </w:rPr>
        <w:lastRenderedPageBreak/>
        <w:t>h</w:t>
      </w:r>
      <w:r w:rsidR="00934A0A" w:rsidRPr="00A16E60">
        <w:rPr>
          <w:szCs w:val="22"/>
        </w:rPr>
        <w:t xml:space="preserve">owever, </w:t>
      </w:r>
      <w:r w:rsidR="00C51FE2" w:rsidRPr="00A16E60">
        <w:rPr>
          <w:szCs w:val="22"/>
        </w:rPr>
        <w:t xml:space="preserve">the </w:t>
      </w:r>
      <w:r w:rsidR="00D565A1">
        <w:rPr>
          <w:szCs w:val="22"/>
        </w:rPr>
        <w:t>CRT</w:t>
      </w:r>
      <w:r w:rsidR="00C51FE2" w:rsidRPr="00A16E60">
        <w:rPr>
          <w:szCs w:val="22"/>
        </w:rPr>
        <w:t xml:space="preserve"> </w:t>
      </w:r>
      <w:r w:rsidR="00EF546C">
        <w:rPr>
          <w:szCs w:val="22"/>
        </w:rPr>
        <w:t xml:space="preserve">audit logs are only capturing major system changes to the database build and application. </w:t>
      </w:r>
      <w:r w:rsidR="00D565A1">
        <w:rPr>
          <w:szCs w:val="22"/>
        </w:rPr>
        <w:t>CRT</w:t>
      </w:r>
      <w:r w:rsidR="00C11273">
        <w:rPr>
          <w:szCs w:val="22"/>
        </w:rPr>
        <w:t xml:space="preserve"> is not configured in a way</w:t>
      </w:r>
      <w:r w:rsidR="002E2E92">
        <w:rPr>
          <w:szCs w:val="22"/>
        </w:rPr>
        <w:t xml:space="preserve"> that allows the system</w:t>
      </w:r>
      <w:r w:rsidR="00C11273">
        <w:rPr>
          <w:szCs w:val="22"/>
        </w:rPr>
        <w:t xml:space="preserve"> to generate all configuration changes to the application, database, and </w:t>
      </w:r>
      <w:r w:rsidR="002E2E92">
        <w:rPr>
          <w:szCs w:val="22"/>
        </w:rPr>
        <w:t xml:space="preserve">supporting </w:t>
      </w:r>
      <w:r w:rsidR="00C11273">
        <w:rPr>
          <w:szCs w:val="22"/>
        </w:rPr>
        <w:t xml:space="preserve">operating system. </w:t>
      </w:r>
    </w:p>
    <w:p w14:paraId="50F4DFB9" w14:textId="77777777" w:rsidR="003C7462" w:rsidRDefault="002E76CA" w:rsidP="003C7462">
      <w:pPr>
        <w:rPr>
          <w:szCs w:val="22"/>
        </w:rPr>
      </w:pPr>
      <w:r w:rsidRPr="00C03C24">
        <w:rPr>
          <w:b/>
          <w:szCs w:val="22"/>
          <w:u w:val="single"/>
        </w:rPr>
        <w:t xml:space="preserve">EFFECT:  </w:t>
      </w:r>
    </w:p>
    <w:p w14:paraId="5D378A48" w14:textId="54971EBD" w:rsidR="00BE1B14" w:rsidRDefault="00BE1B14" w:rsidP="003C7462">
      <w:pPr>
        <w:rPr>
          <w:szCs w:val="22"/>
        </w:rPr>
      </w:pPr>
      <w:r w:rsidRPr="00BE1B14">
        <w:rPr>
          <w:szCs w:val="22"/>
        </w:rPr>
        <w:t xml:space="preserve">Lack of implemented controls to verify the accuracy of configuration changes to the </w:t>
      </w:r>
      <w:r w:rsidR="00D565A1">
        <w:rPr>
          <w:szCs w:val="22"/>
        </w:rPr>
        <w:t>CRT</w:t>
      </w:r>
      <w:r w:rsidRPr="00BE1B14">
        <w:rPr>
          <w:szCs w:val="22"/>
        </w:rPr>
        <w:t xml:space="preserve"> production environment increases the potential of unauthorized and/or improper changes being implemented. Without appropriately monitoring changes to financial applications and supporting system software, </w:t>
      </w:r>
      <w:r w:rsidR="00416075" w:rsidRPr="00416075">
        <w:rPr>
          <w:szCs w:val="22"/>
        </w:rPr>
        <w:t>SmartThink</w:t>
      </w:r>
      <w:r w:rsidRPr="00BE1B14">
        <w:rPr>
          <w:szCs w:val="22"/>
        </w:rPr>
        <w:t xml:space="preserve"> may be at increased risk of unauthorized access, modification, loss, or disclos</w:t>
      </w:r>
      <w:r w:rsidR="001E16E3">
        <w:rPr>
          <w:szCs w:val="22"/>
        </w:rPr>
        <w:t xml:space="preserve">ure of sensitive financial data, </w:t>
      </w:r>
      <w:r w:rsidR="001E16E3" w:rsidRPr="00EC7C48">
        <w:rPr>
          <w:szCs w:val="22"/>
        </w:rPr>
        <w:t>which can affect the financial statements</w:t>
      </w:r>
      <w:r w:rsidR="001E16E3">
        <w:rPr>
          <w:szCs w:val="22"/>
        </w:rPr>
        <w:t>.</w:t>
      </w:r>
    </w:p>
    <w:p w14:paraId="36C0D056" w14:textId="77777777" w:rsidR="002E76CA" w:rsidRPr="005C3EAE" w:rsidRDefault="002E76CA" w:rsidP="005C3EAE">
      <w:pPr>
        <w:keepNext/>
        <w:keepLines/>
        <w:rPr>
          <w:b/>
          <w:szCs w:val="22"/>
          <w:u w:val="single"/>
        </w:rPr>
      </w:pPr>
      <w:r w:rsidRPr="005C3EAE">
        <w:rPr>
          <w:b/>
          <w:szCs w:val="22"/>
          <w:u w:val="single"/>
        </w:rPr>
        <w:t>RECOMMENDATION:</w:t>
      </w:r>
    </w:p>
    <w:p w14:paraId="1E054777" w14:textId="746F1E66" w:rsidR="00FC0A24" w:rsidRPr="00646090" w:rsidRDefault="00FC0A24" w:rsidP="005C3EAE">
      <w:r>
        <w:t xml:space="preserve">We recommend that </w:t>
      </w:r>
      <w:r w:rsidR="00416075">
        <w:rPr>
          <w:szCs w:val="22"/>
        </w:rPr>
        <w:t>SmartThink</w:t>
      </w:r>
      <w:r>
        <w:t xml:space="preserve"> continue ongoing efforts to fully implement enterprise-</w:t>
      </w:r>
      <w:r w:rsidR="0058779B">
        <w:t xml:space="preserve">wide audit logging capabilities, </w:t>
      </w:r>
      <w:r w:rsidR="006151EE" w:rsidRPr="00DB5D7C">
        <w:rPr>
          <w:szCs w:val="22"/>
        </w:rPr>
        <w:t>including detecting, logging, and maintaining auditable records of</w:t>
      </w:r>
      <w:r w:rsidR="006151EE" w:rsidDel="006151EE">
        <w:t xml:space="preserve"> </w:t>
      </w:r>
      <w:r>
        <w:t>all implemented changes</w:t>
      </w:r>
      <w:r w:rsidR="0058779B">
        <w:t xml:space="preserve"> in detail</w:t>
      </w:r>
      <w:r>
        <w:t xml:space="preserve"> to the </w:t>
      </w:r>
      <w:r w:rsidR="00D565A1">
        <w:t>CRT</w:t>
      </w:r>
      <w:r>
        <w:t xml:space="preserve"> applications and supporting </w:t>
      </w:r>
      <w:r w:rsidR="0058779B">
        <w:t>database and operating system</w:t>
      </w:r>
      <w:r>
        <w:t xml:space="preserve"> to ensure that movements of code into the production environments</w:t>
      </w:r>
      <w:r w:rsidR="0058779B">
        <w:t xml:space="preserve"> can be identified to specific change requests and</w:t>
      </w:r>
      <w:r>
        <w:t xml:space="preserve"> are appropriately controlled.</w:t>
      </w:r>
    </w:p>
    <w:p w14:paraId="4B935A00" w14:textId="77777777" w:rsidR="002E76CA" w:rsidRDefault="00FB4A61" w:rsidP="00135C7D">
      <w:pPr>
        <w:keepNext/>
        <w:rPr>
          <w:b/>
          <w:u w:val="single"/>
        </w:rPr>
      </w:pPr>
      <w:r>
        <w:rPr>
          <w:b/>
          <w:u w:val="single"/>
        </w:rPr>
        <w:br w:type="column"/>
      </w:r>
      <w:r w:rsidR="002E76CA" w:rsidRPr="00B42992">
        <w:rPr>
          <w:b/>
          <w:u w:val="single"/>
        </w:rPr>
        <w:lastRenderedPageBreak/>
        <w:t>MANAGEMENT RESPONSE:</w:t>
      </w:r>
    </w:p>
    <w:p w14:paraId="6EF08D8F" w14:textId="2A7B458C" w:rsidR="00291756" w:rsidRDefault="00291756" w:rsidP="007C015A">
      <w:pPr>
        <w:keepNext/>
        <w:rPr>
          <w:b/>
        </w:rPr>
      </w:pPr>
      <w:r>
        <w:t xml:space="preserve">Please indicate your response by checking the appropriate box below and providing the appropriate supporting documentation to </w:t>
      </w:r>
      <w:r w:rsidR="00416075">
        <w:t xml:space="preserve">the external auditors </w:t>
      </w:r>
      <w:r w:rsidR="0009676F">
        <w:t>within five business days from the date</w:t>
      </w:r>
      <w:r>
        <w:t xml:space="preserve"> of this notification (for any non-concurrence). </w:t>
      </w:r>
    </w:p>
    <w:p w14:paraId="1D73A5CE" w14:textId="77777777" w:rsidR="00291756" w:rsidRDefault="00291756" w:rsidP="001967B3">
      <w:pPr>
        <w:numPr>
          <w:ilvl w:val="0"/>
          <w:numId w:val="1"/>
        </w:numPr>
        <w:tabs>
          <w:tab w:val="num" w:pos="1260"/>
        </w:tabs>
      </w:pPr>
      <w:r>
        <w:t>Management concurs with the Notification of Findi</w:t>
      </w:r>
      <w:r w:rsidR="00C03C24">
        <w:t xml:space="preserve">ng and Recommendation and will develop </w:t>
      </w:r>
      <w:r>
        <w:t>a corrective action plan, with milestone dates, to address the condition.   (Note: Responses should not be delayed until plans are finalized. If plans are not complete, specify a completion date when forwarding your responses.)</w:t>
      </w:r>
    </w:p>
    <w:p w14:paraId="78AC973D" w14:textId="77777777" w:rsidR="00291756" w:rsidRDefault="00291756" w:rsidP="001967B3">
      <w:pPr>
        <w:numPr>
          <w:ilvl w:val="0"/>
          <w:numId w:val="1"/>
        </w:numPr>
        <w:tabs>
          <w:tab w:val="num" w:pos="1260"/>
        </w:tabs>
      </w:pPr>
      <w:r>
        <w:t>Management does not concur with the Notification of Finding and Recommendation and provided further detail supporting our position in the space provided below or as an attachment to this document.</w:t>
      </w:r>
    </w:p>
    <w:p w14:paraId="10330356" w14:textId="77777777" w:rsidR="00291756" w:rsidRDefault="00291756" w:rsidP="001967B3">
      <w:pPr>
        <w:numPr>
          <w:ilvl w:val="0"/>
          <w:numId w:val="1"/>
        </w:numPr>
        <w:tabs>
          <w:tab w:val="num" w:pos="1260"/>
        </w:tabs>
      </w:pPr>
      <w:r>
        <w:t>Corrective action will be taken and completed in current fiscal year (check box if “yes”).</w:t>
      </w:r>
    </w:p>
    <w:p w14:paraId="1013BD9B" w14:textId="77777777" w:rsidR="00333C38" w:rsidRDefault="00333C38" w:rsidP="007C015A">
      <w:pPr>
        <w:pBdr>
          <w:top w:val="single" w:sz="4" w:space="1" w:color="auto"/>
          <w:left w:val="single" w:sz="4" w:space="4" w:color="auto"/>
          <w:bottom w:val="single" w:sz="4" w:space="0" w:color="auto"/>
          <w:right w:val="single" w:sz="4" w:space="4" w:color="auto"/>
        </w:pBdr>
        <w:spacing w:before="0" w:after="0"/>
        <w:rPr>
          <w:b/>
          <w:bCs/>
          <w:i/>
          <w:iCs/>
        </w:rPr>
      </w:pPr>
    </w:p>
    <w:p w14:paraId="605DA219"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r w:rsidRPr="00B42992">
        <w:rPr>
          <w:b/>
          <w:bCs/>
          <w:i/>
          <w:iCs/>
        </w:rPr>
        <w:t>General Comments</w:t>
      </w:r>
    </w:p>
    <w:p w14:paraId="03207B2B"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1021CB2F"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7B7C8425" w14:textId="77777777" w:rsidR="00990505" w:rsidRDefault="00B1704C" w:rsidP="007C015A">
      <w:pPr>
        <w:pBdr>
          <w:top w:val="single" w:sz="4" w:space="1" w:color="auto"/>
          <w:left w:val="single" w:sz="4" w:space="4" w:color="auto"/>
          <w:bottom w:val="single" w:sz="4" w:space="0" w:color="auto"/>
          <w:right w:val="single" w:sz="4" w:space="4" w:color="auto"/>
        </w:pBdr>
        <w:spacing w:before="0" w:after="0"/>
      </w:pPr>
      <w:r>
        <w:rPr>
          <w:b/>
          <w:u w:val="single"/>
        </w:rPr>
        <w:t>We concur</w:t>
      </w:r>
      <w:r w:rsidR="005F3C6C">
        <w:t xml:space="preserve"> </w:t>
      </w:r>
      <w:r>
        <w:t>for the tracking of changes to the application code in SPLUNK.  We are actively working on getting changes to the source code executable file (.war) in production fed into</w:t>
      </w:r>
      <w:r w:rsidR="005F3C6C">
        <w:t xml:space="preserve"> SPLUNK </w:t>
      </w:r>
      <w:r>
        <w:t>so that all changes can be tracked and verified against valid change control tickets.</w:t>
      </w:r>
      <w:r w:rsidR="00E8631E">
        <w:t xml:space="preserve"> </w:t>
      </w:r>
    </w:p>
    <w:p w14:paraId="72E66784" w14:textId="77777777" w:rsidR="00D04D4B" w:rsidRDefault="00D04D4B" w:rsidP="007C015A">
      <w:pPr>
        <w:pBdr>
          <w:top w:val="single" w:sz="4" w:space="1" w:color="auto"/>
          <w:left w:val="single" w:sz="4" w:space="4" w:color="auto"/>
          <w:bottom w:val="single" w:sz="4" w:space="0" w:color="auto"/>
          <w:right w:val="single" w:sz="4" w:space="4" w:color="auto"/>
        </w:pBdr>
        <w:spacing w:before="0" w:after="0"/>
      </w:pPr>
    </w:p>
    <w:p w14:paraId="0C1E1856" w14:textId="6B07F3DA" w:rsidR="00D04D4B" w:rsidRDefault="001A27E2" w:rsidP="007C015A">
      <w:pPr>
        <w:pBdr>
          <w:top w:val="single" w:sz="4" w:space="1" w:color="auto"/>
          <w:left w:val="single" w:sz="4" w:space="4" w:color="auto"/>
          <w:bottom w:val="single" w:sz="4" w:space="0" w:color="auto"/>
          <w:right w:val="single" w:sz="4" w:space="4" w:color="auto"/>
        </w:pBdr>
        <w:spacing w:before="0" w:after="0"/>
      </w:pPr>
      <w:r>
        <w:t>For SD1</w:t>
      </w:r>
      <w:r w:rsidR="00D04D4B">
        <w:t xml:space="preserve">, </w:t>
      </w:r>
      <w:r>
        <w:t>CRT</w:t>
      </w:r>
      <w:r w:rsidR="00D04D4B">
        <w:t xml:space="preserve"> d</w:t>
      </w:r>
      <w:r>
        <w:t>oes not have any control over SD</w:t>
      </w:r>
      <w:r w:rsidR="00D04D4B">
        <w:t>1 activities.  An SL</w:t>
      </w:r>
      <w:r>
        <w:t>A is in place specifying that SD</w:t>
      </w:r>
      <w:r w:rsidR="00D04D4B">
        <w:t xml:space="preserve">1 is responsible for their controls which are inherited by </w:t>
      </w:r>
      <w:r>
        <w:rPr>
          <w:szCs w:val="22"/>
        </w:rPr>
        <w:t>SmartThink</w:t>
      </w:r>
      <w:r w:rsidR="00D04D4B">
        <w:t xml:space="preserve">.  As such, </w:t>
      </w:r>
      <w:r>
        <w:rPr>
          <w:szCs w:val="22"/>
        </w:rPr>
        <w:t>SmartThink</w:t>
      </w:r>
      <w:r>
        <w:t xml:space="preserve"> is not responsible for SD</w:t>
      </w:r>
      <w:r w:rsidR="00D04D4B">
        <w:t>1 controls or their noted weaknesses.  Therefore</w:t>
      </w:r>
      <w:r w:rsidR="001B6C3D">
        <w:t>,</w:t>
      </w:r>
      <w:r w:rsidR="00D04D4B">
        <w:t xml:space="preserve"> we </w:t>
      </w:r>
      <w:r w:rsidR="00D04D4B" w:rsidRPr="00113F3E">
        <w:rPr>
          <w:b/>
          <w:u w:val="single"/>
        </w:rPr>
        <w:t>do not concur</w:t>
      </w:r>
      <w:r>
        <w:t xml:space="preserve"> with the inclusion of SD</w:t>
      </w:r>
      <w:r w:rsidR="00D04D4B">
        <w:t>1 weaknesses in this finding.</w:t>
      </w:r>
      <w:r w:rsidR="001B6C3D">
        <w:t xml:space="preserve">  </w:t>
      </w:r>
    </w:p>
    <w:p w14:paraId="79984593" w14:textId="77777777" w:rsidR="005F3C6C" w:rsidRDefault="005F3C6C" w:rsidP="007C015A">
      <w:pPr>
        <w:pBdr>
          <w:top w:val="single" w:sz="4" w:space="1" w:color="auto"/>
          <w:left w:val="single" w:sz="4" w:space="4" w:color="auto"/>
          <w:bottom w:val="single" w:sz="4" w:space="0" w:color="auto"/>
          <w:right w:val="single" w:sz="4" w:space="4" w:color="auto"/>
        </w:pBdr>
        <w:spacing w:before="0" w:after="0"/>
      </w:pPr>
    </w:p>
    <w:p w14:paraId="0641BCAF" w14:textId="77777777" w:rsidR="00335A70" w:rsidRPr="00F079B7" w:rsidRDefault="00335A70" w:rsidP="00335A70">
      <w:pPr>
        <w:pBdr>
          <w:top w:val="single" w:sz="4" w:space="1" w:color="auto"/>
          <w:left w:val="single" w:sz="4" w:space="4" w:color="auto"/>
          <w:bottom w:val="single" w:sz="4" w:space="0" w:color="auto"/>
          <w:right w:val="single" w:sz="4" w:space="4" w:color="auto"/>
        </w:pBdr>
        <w:spacing w:before="0" w:after="0"/>
        <w:rPr>
          <w:strike/>
        </w:rPr>
      </w:pPr>
    </w:p>
    <w:p w14:paraId="22F04C75"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77B1F7E5" w14:textId="5D3D7BFA" w:rsidR="00990505" w:rsidRPr="00B42992" w:rsidRDefault="001A27E2" w:rsidP="001967B3">
      <w:pPr>
        <w:keepNext/>
        <w:rPr>
          <w:b/>
        </w:rPr>
      </w:pPr>
      <w:r>
        <w:rPr>
          <w:b/>
        </w:rPr>
        <w:t>Auditor’s</w:t>
      </w:r>
      <w:r w:rsidR="00FB4A61">
        <w:rPr>
          <w:b/>
        </w:rPr>
        <w:t xml:space="preserve"> Response, if n</w:t>
      </w:r>
      <w:r w:rsidR="00990505" w:rsidRPr="00B42992">
        <w:rPr>
          <w:b/>
        </w:rPr>
        <w:t xml:space="preserve">ecessary: </w:t>
      </w:r>
    </w:p>
    <w:p w14:paraId="018012C4"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295CA55F"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624101E1"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72F20E4F"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4B1BCEB4"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04D5BFB6" w14:textId="77777777" w:rsidR="00990505" w:rsidRPr="00B42992" w:rsidRDefault="00990505" w:rsidP="007C015A">
      <w:pPr>
        <w:pBdr>
          <w:top w:val="single" w:sz="4" w:space="1" w:color="auto"/>
          <w:left w:val="single" w:sz="4" w:space="4" w:color="auto"/>
          <w:bottom w:val="single" w:sz="4" w:space="0" w:color="auto"/>
          <w:right w:val="single" w:sz="4" w:space="4" w:color="auto"/>
        </w:pBdr>
        <w:spacing w:before="0" w:after="0"/>
      </w:pPr>
    </w:p>
    <w:p w14:paraId="1728674F" w14:textId="77777777" w:rsidR="00967C98" w:rsidRPr="00917FF2" w:rsidRDefault="00967C98" w:rsidP="00967C98">
      <w:pPr>
        <w:keepNext/>
        <w:rPr>
          <w:b/>
        </w:rPr>
      </w:pPr>
      <w:r w:rsidRPr="00917FF2">
        <w:rPr>
          <w:b/>
        </w:rPr>
        <w:t>Management Signatures: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3780"/>
        <w:gridCol w:w="450"/>
        <w:gridCol w:w="4158"/>
      </w:tblGrid>
      <w:tr w:rsidR="00967C98" w:rsidRPr="00917FF2" w14:paraId="49E09615" w14:textId="77777777" w:rsidTr="009D0BBD">
        <w:tc>
          <w:tcPr>
            <w:tcW w:w="468" w:type="dxa"/>
            <w:tcBorders>
              <w:top w:val="nil"/>
              <w:left w:val="nil"/>
              <w:bottom w:val="nil"/>
              <w:right w:val="nil"/>
            </w:tcBorders>
            <w:vAlign w:val="bottom"/>
          </w:tcPr>
          <w:p w14:paraId="04101267" w14:textId="77777777" w:rsidR="00967C98" w:rsidRPr="00917FF2" w:rsidRDefault="00967C98" w:rsidP="009D0BBD">
            <w:pPr>
              <w:keepNext/>
              <w:spacing w:before="0" w:after="0"/>
            </w:pPr>
            <w:bookmarkStart w:id="4" w:name="OLE_LINK1"/>
            <w:bookmarkStart w:id="5" w:name="OLE_LINK2"/>
            <w:r w:rsidRPr="00917FF2">
              <w:t>1.</w:t>
            </w:r>
          </w:p>
        </w:tc>
        <w:tc>
          <w:tcPr>
            <w:tcW w:w="3780" w:type="dxa"/>
            <w:tcBorders>
              <w:top w:val="nil"/>
              <w:left w:val="nil"/>
              <w:bottom w:val="nil"/>
              <w:right w:val="nil"/>
            </w:tcBorders>
          </w:tcPr>
          <w:p w14:paraId="779E9E94" w14:textId="77777777" w:rsidR="00967C98" w:rsidRPr="00917FF2" w:rsidRDefault="00967C98" w:rsidP="009D0BBD">
            <w:pPr>
              <w:keepNext/>
              <w:spacing w:before="0" w:after="0"/>
              <w:rPr>
                <w:b/>
              </w:rPr>
            </w:pPr>
          </w:p>
          <w:p w14:paraId="1B369791" w14:textId="77777777" w:rsidR="00967C98" w:rsidRPr="00917FF2" w:rsidRDefault="00967C98" w:rsidP="00A71F0F">
            <w:pPr>
              <w:keepNext/>
              <w:spacing w:before="0" w:after="0"/>
              <w:rPr>
                <w:b/>
              </w:rPr>
            </w:pPr>
          </w:p>
        </w:tc>
        <w:tc>
          <w:tcPr>
            <w:tcW w:w="450" w:type="dxa"/>
            <w:tcBorders>
              <w:top w:val="nil"/>
              <w:left w:val="nil"/>
              <w:bottom w:val="nil"/>
              <w:right w:val="nil"/>
            </w:tcBorders>
            <w:vAlign w:val="bottom"/>
          </w:tcPr>
          <w:p w14:paraId="18615CA3" w14:textId="4FD597B4" w:rsidR="00967C98" w:rsidRPr="00917FF2" w:rsidRDefault="001A27E2" w:rsidP="009D0BBD">
            <w:pPr>
              <w:keepNext/>
              <w:spacing w:before="0" w:after="0"/>
            </w:pPr>
            <w:r>
              <w:t>2</w:t>
            </w:r>
            <w:r w:rsidR="00967C98" w:rsidRPr="00917FF2">
              <w:t>.</w:t>
            </w:r>
          </w:p>
        </w:tc>
        <w:tc>
          <w:tcPr>
            <w:tcW w:w="4158" w:type="dxa"/>
            <w:tcBorders>
              <w:top w:val="nil"/>
              <w:left w:val="nil"/>
              <w:bottom w:val="nil"/>
              <w:right w:val="nil"/>
            </w:tcBorders>
            <w:vAlign w:val="bottom"/>
          </w:tcPr>
          <w:p w14:paraId="6A2B8D36" w14:textId="77777777" w:rsidR="00967C98" w:rsidRPr="00917FF2" w:rsidRDefault="00967C98" w:rsidP="009D0BBD">
            <w:pPr>
              <w:keepNext/>
              <w:spacing w:before="0" w:after="0"/>
              <w:rPr>
                <w:b/>
              </w:rPr>
            </w:pPr>
          </w:p>
          <w:p w14:paraId="23D55312" w14:textId="77777777" w:rsidR="00967C98" w:rsidRPr="00917FF2" w:rsidRDefault="00967C98" w:rsidP="009D0BBD">
            <w:pPr>
              <w:keepNext/>
              <w:spacing w:before="0" w:after="0"/>
              <w:rPr>
                <w:b/>
              </w:rPr>
            </w:pPr>
          </w:p>
        </w:tc>
      </w:tr>
      <w:tr w:rsidR="00967C98" w:rsidRPr="00917FF2" w14:paraId="554B964D" w14:textId="77777777" w:rsidTr="009D0BBD">
        <w:tc>
          <w:tcPr>
            <w:tcW w:w="468" w:type="dxa"/>
            <w:tcBorders>
              <w:top w:val="nil"/>
              <w:left w:val="nil"/>
              <w:bottom w:val="nil"/>
              <w:right w:val="nil"/>
            </w:tcBorders>
            <w:vAlign w:val="bottom"/>
          </w:tcPr>
          <w:p w14:paraId="47EA747A" w14:textId="77777777" w:rsidR="00967C98" w:rsidRPr="00917FF2" w:rsidRDefault="00967C98" w:rsidP="009D0BBD">
            <w:pPr>
              <w:spacing w:before="0" w:after="0"/>
            </w:pPr>
          </w:p>
        </w:tc>
        <w:tc>
          <w:tcPr>
            <w:tcW w:w="3780" w:type="dxa"/>
            <w:tcBorders>
              <w:left w:val="nil"/>
              <w:bottom w:val="nil"/>
              <w:right w:val="nil"/>
            </w:tcBorders>
          </w:tcPr>
          <w:p w14:paraId="088345CA" w14:textId="2F1537DC" w:rsidR="00967C98" w:rsidRPr="00917FF2" w:rsidRDefault="001A27E2" w:rsidP="009D0BBD">
            <w:pPr>
              <w:spacing w:before="0" w:after="0"/>
              <w:rPr>
                <w:szCs w:val="22"/>
              </w:rPr>
            </w:pPr>
            <w:r>
              <w:rPr>
                <w:szCs w:val="22"/>
              </w:rPr>
              <w:t>Kwaku Manu</w:t>
            </w:r>
          </w:p>
          <w:p w14:paraId="2F190537" w14:textId="530A13F2" w:rsidR="00967C98" w:rsidRPr="00917FF2" w:rsidRDefault="001A27E2" w:rsidP="009D0BBD">
            <w:pPr>
              <w:spacing w:before="0" w:after="0"/>
            </w:pPr>
            <w:r>
              <w:rPr>
                <w:szCs w:val="22"/>
              </w:rPr>
              <w:t>SmartThink</w:t>
            </w:r>
            <w:r w:rsidR="00967C98" w:rsidRPr="00917FF2">
              <w:rPr>
                <w:szCs w:val="22"/>
              </w:rPr>
              <w:t xml:space="preserve"> </w:t>
            </w:r>
            <w:r w:rsidR="00967C98" w:rsidRPr="00917FF2">
              <w:t>Chief Financial (CFO)</w:t>
            </w:r>
          </w:p>
        </w:tc>
        <w:tc>
          <w:tcPr>
            <w:tcW w:w="450" w:type="dxa"/>
            <w:tcBorders>
              <w:top w:val="nil"/>
              <w:left w:val="nil"/>
              <w:bottom w:val="nil"/>
              <w:right w:val="nil"/>
            </w:tcBorders>
            <w:vAlign w:val="bottom"/>
          </w:tcPr>
          <w:p w14:paraId="6DE9D69C" w14:textId="77777777" w:rsidR="00967C98" w:rsidRPr="00917FF2" w:rsidRDefault="00967C98" w:rsidP="009D0BBD">
            <w:pPr>
              <w:spacing w:before="0" w:after="0"/>
            </w:pPr>
          </w:p>
        </w:tc>
        <w:tc>
          <w:tcPr>
            <w:tcW w:w="4158" w:type="dxa"/>
            <w:tcBorders>
              <w:left w:val="nil"/>
              <w:bottom w:val="nil"/>
              <w:right w:val="nil"/>
            </w:tcBorders>
          </w:tcPr>
          <w:p w14:paraId="3EDB1163" w14:textId="52FF3B19" w:rsidR="00967C98" w:rsidRPr="00917FF2" w:rsidRDefault="001A27E2" w:rsidP="009D0BBD">
            <w:pPr>
              <w:spacing w:before="0" w:after="0"/>
            </w:pPr>
            <w:r>
              <w:t>Kojo Mensah</w:t>
            </w:r>
          </w:p>
          <w:p w14:paraId="7536E066" w14:textId="7A5D3EFE" w:rsidR="00967C98" w:rsidRPr="00917FF2" w:rsidRDefault="00967C98" w:rsidP="009D0BBD">
            <w:pPr>
              <w:spacing w:before="0" w:after="0"/>
            </w:pPr>
            <w:r w:rsidRPr="00917FF2">
              <w:t xml:space="preserve">Director </w:t>
            </w:r>
            <w:r w:rsidR="001A27E2">
              <w:t>–</w:t>
            </w:r>
            <w:r w:rsidRPr="00917FF2">
              <w:t xml:space="preserve"> </w:t>
            </w:r>
            <w:r w:rsidR="001A27E2">
              <w:t>ADD, LLC</w:t>
            </w:r>
          </w:p>
        </w:tc>
      </w:tr>
      <w:tr w:rsidR="00967C98" w:rsidRPr="00917FF2" w14:paraId="31C1AE84" w14:textId="77777777" w:rsidTr="009D0BBD">
        <w:tc>
          <w:tcPr>
            <w:tcW w:w="468" w:type="dxa"/>
            <w:tcBorders>
              <w:top w:val="nil"/>
              <w:left w:val="nil"/>
              <w:bottom w:val="nil"/>
              <w:right w:val="nil"/>
            </w:tcBorders>
            <w:vAlign w:val="bottom"/>
          </w:tcPr>
          <w:p w14:paraId="4FD1DB84" w14:textId="77777777" w:rsidR="00967C98" w:rsidRPr="00917FF2" w:rsidRDefault="00967C98" w:rsidP="009D0BBD">
            <w:pPr>
              <w:spacing w:before="0" w:after="0"/>
            </w:pPr>
          </w:p>
        </w:tc>
        <w:tc>
          <w:tcPr>
            <w:tcW w:w="3780" w:type="dxa"/>
            <w:tcBorders>
              <w:top w:val="nil"/>
              <w:left w:val="nil"/>
              <w:bottom w:val="nil"/>
              <w:right w:val="nil"/>
            </w:tcBorders>
          </w:tcPr>
          <w:p w14:paraId="40DF4519" w14:textId="77777777" w:rsidR="00967C98" w:rsidRPr="00917FF2" w:rsidRDefault="00967C98" w:rsidP="009D0BBD">
            <w:pPr>
              <w:spacing w:before="0" w:after="0"/>
            </w:pPr>
          </w:p>
        </w:tc>
        <w:tc>
          <w:tcPr>
            <w:tcW w:w="450" w:type="dxa"/>
            <w:tcBorders>
              <w:top w:val="nil"/>
              <w:left w:val="nil"/>
              <w:bottom w:val="nil"/>
              <w:right w:val="nil"/>
            </w:tcBorders>
            <w:vAlign w:val="bottom"/>
          </w:tcPr>
          <w:p w14:paraId="506AAA5F" w14:textId="77777777" w:rsidR="00967C98" w:rsidRPr="00917FF2" w:rsidRDefault="00967C98" w:rsidP="009D0BBD">
            <w:pPr>
              <w:spacing w:before="0" w:after="0"/>
            </w:pPr>
          </w:p>
        </w:tc>
        <w:tc>
          <w:tcPr>
            <w:tcW w:w="4158" w:type="dxa"/>
            <w:tcBorders>
              <w:top w:val="nil"/>
              <w:left w:val="nil"/>
              <w:bottom w:val="nil"/>
              <w:right w:val="nil"/>
            </w:tcBorders>
          </w:tcPr>
          <w:p w14:paraId="2716D3A2" w14:textId="77777777" w:rsidR="00967C98" w:rsidRPr="00917FF2" w:rsidRDefault="00967C98" w:rsidP="009D0BBD">
            <w:pPr>
              <w:spacing w:before="0" w:after="0"/>
            </w:pPr>
          </w:p>
        </w:tc>
      </w:tr>
      <w:bookmarkEnd w:id="4"/>
      <w:bookmarkEnd w:id="5"/>
    </w:tbl>
    <w:p w14:paraId="245FB005" w14:textId="77777777" w:rsidR="00990505" w:rsidRPr="00B42992" w:rsidRDefault="00990505" w:rsidP="001A27E2">
      <w:pPr>
        <w:jc w:val="both"/>
        <w:rPr>
          <w:szCs w:val="22"/>
        </w:rPr>
      </w:pPr>
    </w:p>
    <w:sectPr w:rsidR="00990505" w:rsidRPr="00B42992" w:rsidSect="00A86915">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DAC396" w14:textId="77777777" w:rsidR="005C57EA" w:rsidRDefault="005C57EA" w:rsidP="00B03648">
      <w:r>
        <w:separator/>
      </w:r>
    </w:p>
  </w:endnote>
  <w:endnote w:type="continuationSeparator" w:id="0">
    <w:p w14:paraId="685D084E" w14:textId="77777777" w:rsidR="005C57EA" w:rsidRDefault="005C57EA" w:rsidP="00B03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49358" w14:textId="4148F445" w:rsidR="00B03648" w:rsidRPr="009877D3" w:rsidRDefault="009877D3" w:rsidP="009877D3">
    <w:pPr>
      <w:pStyle w:val="Footer"/>
      <w:rPr>
        <w:szCs w:val="22"/>
      </w:rPr>
    </w:pPr>
    <w:r>
      <w:rPr>
        <w:szCs w:val="22"/>
      </w:rPr>
      <w:t xml:space="preserve">Page </w:t>
    </w:r>
    <w:r w:rsidR="008D6E96">
      <w:rPr>
        <w:szCs w:val="22"/>
      </w:rPr>
      <w:fldChar w:fldCharType="begin"/>
    </w:r>
    <w:r>
      <w:rPr>
        <w:szCs w:val="22"/>
      </w:rPr>
      <w:instrText xml:space="preserve"> PAGE   \* MERGEFORMAT </w:instrText>
    </w:r>
    <w:r w:rsidR="008D6E96">
      <w:rPr>
        <w:szCs w:val="22"/>
      </w:rPr>
      <w:fldChar w:fldCharType="separate"/>
    </w:r>
    <w:r w:rsidR="009C395A">
      <w:rPr>
        <w:noProof/>
        <w:szCs w:val="22"/>
      </w:rPr>
      <w:t>5</w:t>
    </w:r>
    <w:r w:rsidR="008D6E96">
      <w:rPr>
        <w:szCs w:val="22"/>
      </w:rPr>
      <w:fldChar w:fldCharType="end"/>
    </w:r>
    <w:r>
      <w:rPr>
        <w:szCs w:val="22"/>
      </w:rPr>
      <w:t xml:space="preserve"> of </w:t>
    </w:r>
    <w:r w:rsidR="00471AF3">
      <w:rPr>
        <w:noProof/>
        <w:szCs w:val="22"/>
      </w:rPr>
      <w:fldChar w:fldCharType="begin"/>
    </w:r>
    <w:r w:rsidR="00471AF3">
      <w:rPr>
        <w:noProof/>
        <w:szCs w:val="22"/>
      </w:rPr>
      <w:instrText xml:space="preserve"> NUMPAGES   \* MERGEFORMAT </w:instrText>
    </w:r>
    <w:r w:rsidR="00471AF3">
      <w:rPr>
        <w:noProof/>
        <w:szCs w:val="22"/>
      </w:rPr>
      <w:fldChar w:fldCharType="separate"/>
    </w:r>
    <w:r w:rsidR="009C395A">
      <w:rPr>
        <w:noProof/>
        <w:szCs w:val="22"/>
      </w:rPr>
      <w:t>5</w:t>
    </w:r>
    <w:r w:rsidR="00471AF3">
      <w:rPr>
        <w:noProof/>
        <w:szCs w:val="22"/>
      </w:rPr>
      <w:fldChar w:fldCharType="end"/>
    </w:r>
    <w:r>
      <w:rPr>
        <w:szCs w:val="22"/>
      </w:rPr>
      <w:tab/>
    </w:r>
    <w:r w:rsidR="001967B3">
      <w:rPr>
        <w:b/>
        <w:szCs w:val="22"/>
      </w:rPr>
      <w:t>FOR OFFICIAL USE</w:t>
    </w:r>
    <w:r w:rsidRPr="009877D3">
      <w:rPr>
        <w:b/>
        <w:szCs w:val="22"/>
      </w:rPr>
      <w:t xml:space="preserve"> ONLY</w:t>
    </w:r>
    <w:r>
      <w:rPr>
        <w:szCs w:val="22"/>
      </w:rPr>
      <w:tab/>
    </w:r>
    <w:r w:rsidR="001A27E2">
      <w:rPr>
        <w:b/>
        <w:szCs w:val="22"/>
      </w:rPr>
      <w:t>IT-15-25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545C5" w14:textId="77777777" w:rsidR="005C57EA" w:rsidRDefault="005C57EA" w:rsidP="00B03648">
      <w:r>
        <w:separator/>
      </w:r>
    </w:p>
  </w:footnote>
  <w:footnote w:type="continuationSeparator" w:id="0">
    <w:p w14:paraId="02BECAD7" w14:textId="77777777" w:rsidR="005C57EA" w:rsidRDefault="005C57EA" w:rsidP="00B03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DECB2" w14:textId="77777777" w:rsidR="007C015A" w:rsidRDefault="005C57EA">
    <w:pPr>
      <w:pStyle w:val="Header"/>
    </w:pPr>
    <w:r>
      <w:rPr>
        <w:noProof/>
      </w:rPr>
      <w:pict w14:anchorId="5C424C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5294088" o:spid="_x0000_s2050" type="#_x0000_t136" style="position:absolute;left:0;text-align:left;margin-left:0;margin-top:0;width:471.3pt;height:188.5pt;rotation:315;z-index:-251654144;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508AF" w14:textId="77777777" w:rsidR="007C015A" w:rsidRDefault="001B2F6A" w:rsidP="001B2F6A">
    <w:pPr>
      <w:pStyle w:val="Header"/>
      <w:jc w:val="center"/>
    </w:pPr>
    <w:r>
      <w:rPr>
        <w:b/>
        <w:i w:val="0"/>
      </w:rPr>
      <w:t>FOR OFFICIAL USE ONLY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9CB53" w14:textId="77777777" w:rsidR="007C015A" w:rsidRDefault="005C57EA">
    <w:pPr>
      <w:pStyle w:val="Header"/>
    </w:pPr>
    <w:r>
      <w:rPr>
        <w:noProof/>
      </w:rPr>
      <w:pict w14:anchorId="767723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5294087" o:spid="_x0000_s2049" type="#_x0000_t136" style="position:absolute;left:0;text-align:left;margin-left:0;margin-top:0;width:471.3pt;height:188.5pt;rotation:315;z-index:-251656192;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58809C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3B4848"/>
    <w:multiLevelType w:val="hybridMultilevel"/>
    <w:tmpl w:val="506825F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8D4C13"/>
    <w:multiLevelType w:val="hybridMultilevel"/>
    <w:tmpl w:val="70BE929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330861"/>
    <w:multiLevelType w:val="hybridMultilevel"/>
    <w:tmpl w:val="659EC1A4"/>
    <w:lvl w:ilvl="0" w:tplc="FD1A5F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7F3D5B"/>
    <w:multiLevelType w:val="hybridMultilevel"/>
    <w:tmpl w:val="3BF21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342B76"/>
    <w:multiLevelType w:val="singleLevel"/>
    <w:tmpl w:val="9BFECA24"/>
    <w:lvl w:ilvl="0">
      <w:start w:val="1"/>
      <w:numFmt w:val="bullet"/>
      <w:lvlText w:val=""/>
      <w:lvlJc w:val="left"/>
      <w:pPr>
        <w:tabs>
          <w:tab w:val="num" w:pos="340"/>
        </w:tabs>
        <w:ind w:left="340" w:hanging="340"/>
      </w:pPr>
      <w:rPr>
        <w:rFonts w:ascii="Symbol" w:hAnsi="Symbol" w:hint="default"/>
        <w:color w:val="auto"/>
        <w:sz w:val="22"/>
      </w:rPr>
    </w:lvl>
  </w:abstractNum>
  <w:abstractNum w:abstractNumId="6" w15:restartNumberingAfterBreak="0">
    <w:nsid w:val="330F0516"/>
    <w:multiLevelType w:val="singleLevel"/>
    <w:tmpl w:val="FD1A5FDC"/>
    <w:lvl w:ilvl="0">
      <w:start w:val="1"/>
      <w:numFmt w:val="bullet"/>
      <w:lvlText w:val=""/>
      <w:lvlJc w:val="left"/>
      <w:pPr>
        <w:ind w:left="720" w:hanging="360"/>
      </w:pPr>
      <w:rPr>
        <w:rFonts w:ascii="Symbol" w:hAnsi="Symbol" w:hint="default"/>
        <w:color w:val="auto"/>
        <w:sz w:val="22"/>
      </w:rPr>
    </w:lvl>
  </w:abstractNum>
  <w:abstractNum w:abstractNumId="7" w15:restartNumberingAfterBreak="0">
    <w:nsid w:val="36D705CD"/>
    <w:multiLevelType w:val="singleLevel"/>
    <w:tmpl w:val="05B0B1E6"/>
    <w:lvl w:ilvl="0">
      <w:start w:val="1"/>
      <w:numFmt w:val="bullet"/>
      <w:lvlText w:val=""/>
      <w:lvlJc w:val="left"/>
      <w:pPr>
        <w:tabs>
          <w:tab w:val="num" w:pos="340"/>
        </w:tabs>
        <w:ind w:left="340" w:hanging="340"/>
      </w:pPr>
      <w:rPr>
        <w:rFonts w:ascii="Symbol" w:hAnsi="Symbol" w:hint="default"/>
        <w:color w:val="auto"/>
        <w:sz w:val="22"/>
      </w:rPr>
    </w:lvl>
  </w:abstractNum>
  <w:abstractNum w:abstractNumId="8" w15:restartNumberingAfterBreak="0">
    <w:nsid w:val="381B1768"/>
    <w:multiLevelType w:val="hybridMultilevel"/>
    <w:tmpl w:val="448C1B38"/>
    <w:lvl w:ilvl="0" w:tplc="4A88BAC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C50253"/>
    <w:multiLevelType w:val="hybridMultilevel"/>
    <w:tmpl w:val="A6DE121A"/>
    <w:lvl w:ilvl="0" w:tplc="04090005">
      <w:start w:val="1"/>
      <w:numFmt w:val="bullet"/>
      <w:lvlText w:val=""/>
      <w:lvlJc w:val="left"/>
      <w:pPr>
        <w:ind w:left="1080" w:hanging="360"/>
      </w:pPr>
      <w:rPr>
        <w:rFonts w:ascii="Wingdings" w:hAnsi="Wingdings" w:hint="default"/>
      </w:rPr>
    </w:lvl>
    <w:lvl w:ilvl="1" w:tplc="D0C2320C">
      <w:start w:val="1"/>
      <w:numFmt w:val="bullet"/>
      <w:lvlText w:val="-"/>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616138"/>
    <w:multiLevelType w:val="hybridMultilevel"/>
    <w:tmpl w:val="BCEAEA30"/>
    <w:lvl w:ilvl="0" w:tplc="729C43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3276FD"/>
    <w:multiLevelType w:val="singleLevel"/>
    <w:tmpl w:val="10B8E1D8"/>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4D643542"/>
    <w:multiLevelType w:val="hybridMultilevel"/>
    <w:tmpl w:val="27B219BA"/>
    <w:lvl w:ilvl="0" w:tplc="86F04A12">
      <w:start w:val="5"/>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F339CA"/>
    <w:multiLevelType w:val="singleLevel"/>
    <w:tmpl w:val="7F1E02A4"/>
    <w:lvl w:ilvl="0">
      <w:start w:val="1"/>
      <w:numFmt w:val="bullet"/>
      <w:lvlText w:val=""/>
      <w:lvlJc w:val="left"/>
      <w:pPr>
        <w:tabs>
          <w:tab w:val="num" w:pos="340"/>
        </w:tabs>
        <w:ind w:left="340" w:hanging="340"/>
      </w:pPr>
      <w:rPr>
        <w:rFonts w:ascii="Symbol" w:hAnsi="Symbol" w:hint="default"/>
        <w:color w:val="auto"/>
        <w:sz w:val="22"/>
      </w:rPr>
    </w:lvl>
  </w:abstractNum>
  <w:abstractNum w:abstractNumId="14" w15:restartNumberingAfterBreak="0">
    <w:nsid w:val="52067CC0"/>
    <w:multiLevelType w:val="singleLevel"/>
    <w:tmpl w:val="6DDAD01E"/>
    <w:lvl w:ilvl="0">
      <w:start w:val="1"/>
      <w:numFmt w:val="bullet"/>
      <w:lvlText w:val=""/>
      <w:lvlJc w:val="left"/>
      <w:pPr>
        <w:tabs>
          <w:tab w:val="num" w:pos="340"/>
        </w:tabs>
        <w:ind w:left="340" w:hanging="340"/>
      </w:pPr>
      <w:rPr>
        <w:rFonts w:ascii="Symbol" w:hAnsi="Symbol" w:hint="default"/>
        <w:color w:val="auto"/>
        <w:sz w:val="22"/>
      </w:rPr>
    </w:lvl>
  </w:abstractNum>
  <w:abstractNum w:abstractNumId="15" w15:restartNumberingAfterBreak="0">
    <w:nsid w:val="57163089"/>
    <w:multiLevelType w:val="singleLevel"/>
    <w:tmpl w:val="054A3CC4"/>
    <w:lvl w:ilvl="0">
      <w:start w:val="1"/>
      <w:numFmt w:val="bullet"/>
      <w:lvlText w:val=""/>
      <w:lvlJc w:val="left"/>
      <w:pPr>
        <w:tabs>
          <w:tab w:val="num" w:pos="340"/>
        </w:tabs>
        <w:ind w:left="340" w:hanging="340"/>
      </w:pPr>
      <w:rPr>
        <w:rFonts w:ascii="Symbol" w:hAnsi="Symbol" w:hint="default"/>
        <w:color w:val="auto"/>
        <w:sz w:val="22"/>
      </w:rPr>
    </w:lvl>
  </w:abstractNum>
  <w:abstractNum w:abstractNumId="16" w15:restartNumberingAfterBreak="0">
    <w:nsid w:val="58364E45"/>
    <w:multiLevelType w:val="singleLevel"/>
    <w:tmpl w:val="4036D2CE"/>
    <w:lvl w:ilvl="0">
      <w:start w:val="1"/>
      <w:numFmt w:val="bullet"/>
      <w:lvlText w:val=""/>
      <w:lvlJc w:val="left"/>
      <w:pPr>
        <w:tabs>
          <w:tab w:val="num" w:pos="340"/>
        </w:tabs>
        <w:ind w:left="340" w:hanging="340"/>
      </w:pPr>
      <w:rPr>
        <w:rFonts w:ascii="Symbol" w:hAnsi="Symbol" w:hint="default"/>
        <w:color w:val="auto"/>
        <w:sz w:val="22"/>
      </w:rPr>
    </w:lvl>
  </w:abstractNum>
  <w:abstractNum w:abstractNumId="17" w15:restartNumberingAfterBreak="0">
    <w:nsid w:val="5AB05C97"/>
    <w:multiLevelType w:val="hybridMultilevel"/>
    <w:tmpl w:val="B6EC0D1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5CCD6DE0"/>
    <w:multiLevelType w:val="singleLevel"/>
    <w:tmpl w:val="DA4E9758"/>
    <w:lvl w:ilvl="0">
      <w:start w:val="1"/>
      <w:numFmt w:val="bullet"/>
      <w:lvlText w:val=""/>
      <w:lvlJc w:val="left"/>
      <w:pPr>
        <w:tabs>
          <w:tab w:val="num" w:pos="340"/>
        </w:tabs>
        <w:ind w:left="340" w:hanging="340"/>
      </w:pPr>
      <w:rPr>
        <w:rFonts w:ascii="Symbol" w:hAnsi="Symbol" w:hint="default"/>
        <w:color w:val="auto"/>
        <w:sz w:val="22"/>
      </w:rPr>
    </w:lvl>
  </w:abstractNum>
  <w:abstractNum w:abstractNumId="19" w15:restartNumberingAfterBreak="0">
    <w:nsid w:val="61B52939"/>
    <w:multiLevelType w:val="hybridMultilevel"/>
    <w:tmpl w:val="FF7248DE"/>
    <w:lvl w:ilvl="0" w:tplc="7332CB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2051FCE"/>
    <w:multiLevelType w:val="hybridMultilevel"/>
    <w:tmpl w:val="9DA43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69104A5"/>
    <w:multiLevelType w:val="singleLevel"/>
    <w:tmpl w:val="B34AC84E"/>
    <w:lvl w:ilvl="0">
      <w:start w:val="1"/>
      <w:numFmt w:val="bullet"/>
      <w:lvlText w:val=""/>
      <w:lvlJc w:val="left"/>
      <w:pPr>
        <w:tabs>
          <w:tab w:val="num" w:pos="340"/>
        </w:tabs>
        <w:ind w:left="340" w:hanging="340"/>
      </w:pPr>
      <w:rPr>
        <w:rFonts w:ascii="Symbol" w:hAnsi="Symbol" w:hint="default"/>
        <w:color w:val="auto"/>
        <w:sz w:val="22"/>
      </w:rPr>
    </w:lvl>
  </w:abstractNum>
  <w:abstractNum w:abstractNumId="22" w15:restartNumberingAfterBreak="0">
    <w:nsid w:val="68FF3CD0"/>
    <w:multiLevelType w:val="singleLevel"/>
    <w:tmpl w:val="9E6E537A"/>
    <w:lvl w:ilvl="0">
      <w:start w:val="1"/>
      <w:numFmt w:val="bullet"/>
      <w:lvlText w:val=""/>
      <w:lvlJc w:val="left"/>
      <w:pPr>
        <w:tabs>
          <w:tab w:val="num" w:pos="340"/>
        </w:tabs>
        <w:ind w:left="340" w:hanging="340"/>
      </w:pPr>
      <w:rPr>
        <w:rFonts w:ascii="Symbol" w:hAnsi="Symbol" w:hint="default"/>
        <w:color w:val="auto"/>
        <w:sz w:val="22"/>
      </w:rPr>
    </w:lvl>
  </w:abstractNum>
  <w:abstractNum w:abstractNumId="23" w15:restartNumberingAfterBreak="0">
    <w:nsid w:val="6B131500"/>
    <w:multiLevelType w:val="hybridMultilevel"/>
    <w:tmpl w:val="B2029116"/>
    <w:lvl w:ilvl="0" w:tplc="FFFFFFFF">
      <w:start w:val="1"/>
      <w:numFmt w:val="bullet"/>
      <w:lvlText w:val=""/>
      <w:lvlJc w:val="left"/>
      <w:pPr>
        <w:tabs>
          <w:tab w:val="num" w:pos="1080"/>
        </w:tabs>
        <w:ind w:left="1080" w:hanging="360"/>
      </w:pPr>
      <w:rPr>
        <w:rFonts w:ascii="Wingdings" w:hAnsi="Wingdings" w:hint="default"/>
        <w:sz w:val="24"/>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A4E57C9"/>
    <w:multiLevelType w:val="singleLevel"/>
    <w:tmpl w:val="84BA4A4E"/>
    <w:lvl w:ilvl="0">
      <w:start w:val="1"/>
      <w:numFmt w:val="bullet"/>
      <w:lvlText w:val=""/>
      <w:lvlJc w:val="left"/>
      <w:pPr>
        <w:tabs>
          <w:tab w:val="num" w:pos="340"/>
        </w:tabs>
        <w:ind w:left="340" w:hanging="340"/>
      </w:pPr>
      <w:rPr>
        <w:rFonts w:ascii="Symbol" w:hAnsi="Symbol" w:hint="default"/>
        <w:color w:val="auto"/>
        <w:sz w:val="22"/>
      </w:rPr>
    </w:lvl>
  </w:abstractNum>
  <w:num w:numId="1">
    <w:abstractNumId w:val="23"/>
  </w:num>
  <w:num w:numId="2">
    <w:abstractNumId w:val="3"/>
  </w:num>
  <w:num w:numId="3">
    <w:abstractNumId w:val="6"/>
  </w:num>
  <w:num w:numId="4">
    <w:abstractNumId w:val="17"/>
  </w:num>
  <w:num w:numId="5">
    <w:abstractNumId w:val="1"/>
  </w:num>
  <w:num w:numId="6">
    <w:abstractNumId w:val="20"/>
  </w:num>
  <w:num w:numId="7">
    <w:abstractNumId w:val="8"/>
  </w:num>
  <w:num w:numId="8">
    <w:abstractNumId w:val="16"/>
  </w:num>
  <w:num w:numId="9">
    <w:abstractNumId w:val="7"/>
  </w:num>
  <w:num w:numId="10">
    <w:abstractNumId w:val="10"/>
  </w:num>
  <w:num w:numId="11">
    <w:abstractNumId w:val="14"/>
  </w:num>
  <w:num w:numId="12">
    <w:abstractNumId w:val="24"/>
  </w:num>
  <w:num w:numId="13">
    <w:abstractNumId w:val="15"/>
  </w:num>
  <w:num w:numId="14">
    <w:abstractNumId w:val="11"/>
  </w:num>
  <w:num w:numId="15">
    <w:abstractNumId w:val="21"/>
  </w:num>
  <w:num w:numId="16">
    <w:abstractNumId w:val="19"/>
  </w:num>
  <w:num w:numId="17">
    <w:abstractNumId w:val="4"/>
  </w:num>
  <w:num w:numId="18">
    <w:abstractNumId w:val="22"/>
  </w:num>
  <w:num w:numId="19">
    <w:abstractNumId w:val="2"/>
  </w:num>
  <w:num w:numId="20">
    <w:abstractNumId w:val="9"/>
  </w:num>
  <w:num w:numId="21">
    <w:abstractNumId w:val="5"/>
  </w:num>
  <w:num w:numId="22">
    <w:abstractNumId w:val="13"/>
  </w:num>
  <w:num w:numId="23">
    <w:abstractNumId w:val="18"/>
  </w:num>
  <w:num w:numId="24">
    <w:abstractNumId w:val="0"/>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489B"/>
    <w:rsid w:val="00000510"/>
    <w:rsid w:val="00002A8C"/>
    <w:rsid w:val="00003830"/>
    <w:rsid w:val="0001768D"/>
    <w:rsid w:val="00020D2F"/>
    <w:rsid w:val="000350CA"/>
    <w:rsid w:val="0003548A"/>
    <w:rsid w:val="00035E2D"/>
    <w:rsid w:val="0004379E"/>
    <w:rsid w:val="00046B34"/>
    <w:rsid w:val="000528A8"/>
    <w:rsid w:val="00054C75"/>
    <w:rsid w:val="00054CD6"/>
    <w:rsid w:val="00060EBC"/>
    <w:rsid w:val="00064384"/>
    <w:rsid w:val="00075A03"/>
    <w:rsid w:val="0008078E"/>
    <w:rsid w:val="0009251A"/>
    <w:rsid w:val="00093641"/>
    <w:rsid w:val="00094D06"/>
    <w:rsid w:val="00095476"/>
    <w:rsid w:val="0009676F"/>
    <w:rsid w:val="000A37C0"/>
    <w:rsid w:val="000A5A52"/>
    <w:rsid w:val="000C6A6E"/>
    <w:rsid w:val="000D6FAB"/>
    <w:rsid w:val="000D73D1"/>
    <w:rsid w:val="000E0ACA"/>
    <w:rsid w:val="000E2AE6"/>
    <w:rsid w:val="000E53AF"/>
    <w:rsid w:val="000F503B"/>
    <w:rsid w:val="0010209A"/>
    <w:rsid w:val="00105234"/>
    <w:rsid w:val="00111CBA"/>
    <w:rsid w:val="00113F3E"/>
    <w:rsid w:val="00114FBF"/>
    <w:rsid w:val="00127321"/>
    <w:rsid w:val="001276AB"/>
    <w:rsid w:val="00135C7D"/>
    <w:rsid w:val="00140F03"/>
    <w:rsid w:val="001412A3"/>
    <w:rsid w:val="00142E2D"/>
    <w:rsid w:val="00146FC0"/>
    <w:rsid w:val="00152DD7"/>
    <w:rsid w:val="00163BA3"/>
    <w:rsid w:val="0017668F"/>
    <w:rsid w:val="00177849"/>
    <w:rsid w:val="0018104E"/>
    <w:rsid w:val="00183DC8"/>
    <w:rsid w:val="00190443"/>
    <w:rsid w:val="001907E3"/>
    <w:rsid w:val="00190BE8"/>
    <w:rsid w:val="00193BEF"/>
    <w:rsid w:val="00193E48"/>
    <w:rsid w:val="001967B3"/>
    <w:rsid w:val="001969AD"/>
    <w:rsid w:val="0019731C"/>
    <w:rsid w:val="001A27E2"/>
    <w:rsid w:val="001B0397"/>
    <w:rsid w:val="001B2F6A"/>
    <w:rsid w:val="001B6C3D"/>
    <w:rsid w:val="001C3995"/>
    <w:rsid w:val="001C6614"/>
    <w:rsid w:val="001D237C"/>
    <w:rsid w:val="001D31F4"/>
    <w:rsid w:val="001D3D06"/>
    <w:rsid w:val="001E16E3"/>
    <w:rsid w:val="001F5B1B"/>
    <w:rsid w:val="00202B0C"/>
    <w:rsid w:val="00210CE4"/>
    <w:rsid w:val="002110B5"/>
    <w:rsid w:val="0021334F"/>
    <w:rsid w:val="00227278"/>
    <w:rsid w:val="00237FE9"/>
    <w:rsid w:val="002432D3"/>
    <w:rsid w:val="00244E6A"/>
    <w:rsid w:val="002457E4"/>
    <w:rsid w:val="00254977"/>
    <w:rsid w:val="00260D4A"/>
    <w:rsid w:val="00264680"/>
    <w:rsid w:val="0026707C"/>
    <w:rsid w:val="0027420D"/>
    <w:rsid w:val="0028238C"/>
    <w:rsid w:val="002864AA"/>
    <w:rsid w:val="00291756"/>
    <w:rsid w:val="00291897"/>
    <w:rsid w:val="002934C1"/>
    <w:rsid w:val="002939EE"/>
    <w:rsid w:val="00294CF5"/>
    <w:rsid w:val="002A3111"/>
    <w:rsid w:val="002B6902"/>
    <w:rsid w:val="002C270A"/>
    <w:rsid w:val="002C7561"/>
    <w:rsid w:val="002E0D6B"/>
    <w:rsid w:val="002E2E92"/>
    <w:rsid w:val="002E76CA"/>
    <w:rsid w:val="00312889"/>
    <w:rsid w:val="003140B1"/>
    <w:rsid w:val="0033312A"/>
    <w:rsid w:val="00333C38"/>
    <w:rsid w:val="00335A70"/>
    <w:rsid w:val="0033615B"/>
    <w:rsid w:val="003412F8"/>
    <w:rsid w:val="00341698"/>
    <w:rsid w:val="00346C5D"/>
    <w:rsid w:val="00354C0C"/>
    <w:rsid w:val="00355A10"/>
    <w:rsid w:val="00356E04"/>
    <w:rsid w:val="00362ABF"/>
    <w:rsid w:val="00364425"/>
    <w:rsid w:val="00366A5E"/>
    <w:rsid w:val="003724F4"/>
    <w:rsid w:val="00377099"/>
    <w:rsid w:val="003854AC"/>
    <w:rsid w:val="003A2ABB"/>
    <w:rsid w:val="003B2690"/>
    <w:rsid w:val="003B671A"/>
    <w:rsid w:val="003C56D1"/>
    <w:rsid w:val="003C5780"/>
    <w:rsid w:val="003C5E5E"/>
    <w:rsid w:val="003C7462"/>
    <w:rsid w:val="003D29E5"/>
    <w:rsid w:val="003E1D30"/>
    <w:rsid w:val="00405A95"/>
    <w:rsid w:val="00414F77"/>
    <w:rsid w:val="00416075"/>
    <w:rsid w:val="00417FBD"/>
    <w:rsid w:val="00422FFD"/>
    <w:rsid w:val="00423CAE"/>
    <w:rsid w:val="00425508"/>
    <w:rsid w:val="00446760"/>
    <w:rsid w:val="00450B4A"/>
    <w:rsid w:val="00451958"/>
    <w:rsid w:val="00452D6F"/>
    <w:rsid w:val="00453BE8"/>
    <w:rsid w:val="00454158"/>
    <w:rsid w:val="00463762"/>
    <w:rsid w:val="0046489B"/>
    <w:rsid w:val="00470353"/>
    <w:rsid w:val="00471AF3"/>
    <w:rsid w:val="004736F6"/>
    <w:rsid w:val="0047479F"/>
    <w:rsid w:val="00481A2B"/>
    <w:rsid w:val="00481FD2"/>
    <w:rsid w:val="00484D4A"/>
    <w:rsid w:val="00484DB8"/>
    <w:rsid w:val="0048523B"/>
    <w:rsid w:val="004900D6"/>
    <w:rsid w:val="004936F3"/>
    <w:rsid w:val="004952AF"/>
    <w:rsid w:val="00496285"/>
    <w:rsid w:val="004A7D1A"/>
    <w:rsid w:val="004B0740"/>
    <w:rsid w:val="004B1223"/>
    <w:rsid w:val="004B1F4F"/>
    <w:rsid w:val="004B2303"/>
    <w:rsid w:val="004B6F6A"/>
    <w:rsid w:val="004D3A0A"/>
    <w:rsid w:val="004E4A3C"/>
    <w:rsid w:val="004E517E"/>
    <w:rsid w:val="004E5B6A"/>
    <w:rsid w:val="005029AA"/>
    <w:rsid w:val="00506166"/>
    <w:rsid w:val="00510ED7"/>
    <w:rsid w:val="00515135"/>
    <w:rsid w:val="00516895"/>
    <w:rsid w:val="00516AC4"/>
    <w:rsid w:val="005172AC"/>
    <w:rsid w:val="00523A64"/>
    <w:rsid w:val="00532BBB"/>
    <w:rsid w:val="00540C2F"/>
    <w:rsid w:val="005427E8"/>
    <w:rsid w:val="00542E40"/>
    <w:rsid w:val="005435E1"/>
    <w:rsid w:val="005466C0"/>
    <w:rsid w:val="00554373"/>
    <w:rsid w:val="0055773E"/>
    <w:rsid w:val="005641E4"/>
    <w:rsid w:val="00565921"/>
    <w:rsid w:val="00570174"/>
    <w:rsid w:val="00582802"/>
    <w:rsid w:val="0058779B"/>
    <w:rsid w:val="00592803"/>
    <w:rsid w:val="005A1165"/>
    <w:rsid w:val="005A4EA3"/>
    <w:rsid w:val="005A629D"/>
    <w:rsid w:val="005C282E"/>
    <w:rsid w:val="005C3ABB"/>
    <w:rsid w:val="005C3EAE"/>
    <w:rsid w:val="005C57EA"/>
    <w:rsid w:val="005C6EFB"/>
    <w:rsid w:val="005D3833"/>
    <w:rsid w:val="005D5D29"/>
    <w:rsid w:val="005E26FB"/>
    <w:rsid w:val="005E2C68"/>
    <w:rsid w:val="005F2EAE"/>
    <w:rsid w:val="005F3C6C"/>
    <w:rsid w:val="00600E4B"/>
    <w:rsid w:val="006028F7"/>
    <w:rsid w:val="006045E2"/>
    <w:rsid w:val="0061112D"/>
    <w:rsid w:val="00614D22"/>
    <w:rsid w:val="006151EE"/>
    <w:rsid w:val="006217B3"/>
    <w:rsid w:val="0062525E"/>
    <w:rsid w:val="00626E8D"/>
    <w:rsid w:val="00640202"/>
    <w:rsid w:val="00646090"/>
    <w:rsid w:val="00652ABB"/>
    <w:rsid w:val="00655B56"/>
    <w:rsid w:val="006600CE"/>
    <w:rsid w:val="00662368"/>
    <w:rsid w:val="006642E7"/>
    <w:rsid w:val="00665DFB"/>
    <w:rsid w:val="00666987"/>
    <w:rsid w:val="00672E31"/>
    <w:rsid w:val="00681E77"/>
    <w:rsid w:val="006825F9"/>
    <w:rsid w:val="0069498C"/>
    <w:rsid w:val="006A7867"/>
    <w:rsid w:val="006C2681"/>
    <w:rsid w:val="006C3B94"/>
    <w:rsid w:val="006C55EE"/>
    <w:rsid w:val="006D07A1"/>
    <w:rsid w:val="006D1130"/>
    <w:rsid w:val="006D1BA0"/>
    <w:rsid w:val="006D68F4"/>
    <w:rsid w:val="006D6FF3"/>
    <w:rsid w:val="006F24A5"/>
    <w:rsid w:val="006F52F8"/>
    <w:rsid w:val="007009F3"/>
    <w:rsid w:val="00700BBD"/>
    <w:rsid w:val="00701B98"/>
    <w:rsid w:val="0071283D"/>
    <w:rsid w:val="00712E38"/>
    <w:rsid w:val="007138FC"/>
    <w:rsid w:val="00720105"/>
    <w:rsid w:val="00720503"/>
    <w:rsid w:val="007214EA"/>
    <w:rsid w:val="0072486B"/>
    <w:rsid w:val="00727F30"/>
    <w:rsid w:val="00734067"/>
    <w:rsid w:val="00737F45"/>
    <w:rsid w:val="007657B6"/>
    <w:rsid w:val="00770D7E"/>
    <w:rsid w:val="007721FE"/>
    <w:rsid w:val="00772FE5"/>
    <w:rsid w:val="00775C93"/>
    <w:rsid w:val="00776D15"/>
    <w:rsid w:val="00777823"/>
    <w:rsid w:val="0078535A"/>
    <w:rsid w:val="007862AB"/>
    <w:rsid w:val="007870F7"/>
    <w:rsid w:val="00787E42"/>
    <w:rsid w:val="007A4275"/>
    <w:rsid w:val="007A7B3E"/>
    <w:rsid w:val="007A7C69"/>
    <w:rsid w:val="007B2278"/>
    <w:rsid w:val="007B2687"/>
    <w:rsid w:val="007B6B35"/>
    <w:rsid w:val="007C015A"/>
    <w:rsid w:val="007C0D62"/>
    <w:rsid w:val="007D2676"/>
    <w:rsid w:val="007D3A13"/>
    <w:rsid w:val="007D66B2"/>
    <w:rsid w:val="007E760D"/>
    <w:rsid w:val="007F1CFE"/>
    <w:rsid w:val="007F796B"/>
    <w:rsid w:val="008017F5"/>
    <w:rsid w:val="00802B7F"/>
    <w:rsid w:val="00821BF7"/>
    <w:rsid w:val="00822373"/>
    <w:rsid w:val="008232AF"/>
    <w:rsid w:val="0083275B"/>
    <w:rsid w:val="00834249"/>
    <w:rsid w:val="00835222"/>
    <w:rsid w:val="00840604"/>
    <w:rsid w:val="00850BF6"/>
    <w:rsid w:val="00852A63"/>
    <w:rsid w:val="00852CEC"/>
    <w:rsid w:val="00855630"/>
    <w:rsid w:val="0085596C"/>
    <w:rsid w:val="00861CA5"/>
    <w:rsid w:val="0088747B"/>
    <w:rsid w:val="00890645"/>
    <w:rsid w:val="008A3BB0"/>
    <w:rsid w:val="008A3D94"/>
    <w:rsid w:val="008A529E"/>
    <w:rsid w:val="008B02C6"/>
    <w:rsid w:val="008B0C2E"/>
    <w:rsid w:val="008B4341"/>
    <w:rsid w:val="008B756F"/>
    <w:rsid w:val="008C25F1"/>
    <w:rsid w:val="008C3427"/>
    <w:rsid w:val="008C59E9"/>
    <w:rsid w:val="008D37A7"/>
    <w:rsid w:val="008D3984"/>
    <w:rsid w:val="008D6E96"/>
    <w:rsid w:val="008E79A6"/>
    <w:rsid w:val="008F723C"/>
    <w:rsid w:val="009048E9"/>
    <w:rsid w:val="00907C0D"/>
    <w:rsid w:val="00915266"/>
    <w:rsid w:val="0091605B"/>
    <w:rsid w:val="009218F8"/>
    <w:rsid w:val="00927973"/>
    <w:rsid w:val="00930BEE"/>
    <w:rsid w:val="00934A0A"/>
    <w:rsid w:val="00941A8A"/>
    <w:rsid w:val="00960933"/>
    <w:rsid w:val="00967C98"/>
    <w:rsid w:val="0097171F"/>
    <w:rsid w:val="00972698"/>
    <w:rsid w:val="00976D09"/>
    <w:rsid w:val="0098014E"/>
    <w:rsid w:val="00980EBE"/>
    <w:rsid w:val="009877D3"/>
    <w:rsid w:val="00990505"/>
    <w:rsid w:val="009910F2"/>
    <w:rsid w:val="00992194"/>
    <w:rsid w:val="009A453F"/>
    <w:rsid w:val="009A7725"/>
    <w:rsid w:val="009B47F8"/>
    <w:rsid w:val="009B6721"/>
    <w:rsid w:val="009C098F"/>
    <w:rsid w:val="009C2D27"/>
    <w:rsid w:val="009C395A"/>
    <w:rsid w:val="009C62BC"/>
    <w:rsid w:val="009D1E9C"/>
    <w:rsid w:val="009D252C"/>
    <w:rsid w:val="009D533F"/>
    <w:rsid w:val="009F59F9"/>
    <w:rsid w:val="00A02AF7"/>
    <w:rsid w:val="00A03E56"/>
    <w:rsid w:val="00A16E60"/>
    <w:rsid w:val="00A201B5"/>
    <w:rsid w:val="00A22F41"/>
    <w:rsid w:val="00A26146"/>
    <w:rsid w:val="00A332FD"/>
    <w:rsid w:val="00A33AD1"/>
    <w:rsid w:val="00A421CE"/>
    <w:rsid w:val="00A42B56"/>
    <w:rsid w:val="00A45A96"/>
    <w:rsid w:val="00A57691"/>
    <w:rsid w:val="00A623D9"/>
    <w:rsid w:val="00A669D3"/>
    <w:rsid w:val="00A71F0F"/>
    <w:rsid w:val="00A74C0B"/>
    <w:rsid w:val="00A74DE3"/>
    <w:rsid w:val="00A7577D"/>
    <w:rsid w:val="00A84CB2"/>
    <w:rsid w:val="00A852C4"/>
    <w:rsid w:val="00A86915"/>
    <w:rsid w:val="00AC3CCD"/>
    <w:rsid w:val="00AD0808"/>
    <w:rsid w:val="00AD63B7"/>
    <w:rsid w:val="00AE282D"/>
    <w:rsid w:val="00AE4548"/>
    <w:rsid w:val="00AE4BC3"/>
    <w:rsid w:val="00AE5E50"/>
    <w:rsid w:val="00AE67BF"/>
    <w:rsid w:val="00AF06A8"/>
    <w:rsid w:val="00AF61A4"/>
    <w:rsid w:val="00AF7FC4"/>
    <w:rsid w:val="00B02523"/>
    <w:rsid w:val="00B03648"/>
    <w:rsid w:val="00B14900"/>
    <w:rsid w:val="00B1704C"/>
    <w:rsid w:val="00B20B55"/>
    <w:rsid w:val="00B24077"/>
    <w:rsid w:val="00B244E4"/>
    <w:rsid w:val="00B26A1C"/>
    <w:rsid w:val="00B37A2F"/>
    <w:rsid w:val="00B42992"/>
    <w:rsid w:val="00B6089A"/>
    <w:rsid w:val="00B61441"/>
    <w:rsid w:val="00B661C1"/>
    <w:rsid w:val="00B67470"/>
    <w:rsid w:val="00B70016"/>
    <w:rsid w:val="00B71FB1"/>
    <w:rsid w:val="00B81263"/>
    <w:rsid w:val="00B84B35"/>
    <w:rsid w:val="00BA2334"/>
    <w:rsid w:val="00BA353A"/>
    <w:rsid w:val="00BB16D3"/>
    <w:rsid w:val="00BB570D"/>
    <w:rsid w:val="00BB631E"/>
    <w:rsid w:val="00BC6F4B"/>
    <w:rsid w:val="00BD05BD"/>
    <w:rsid w:val="00BE1B14"/>
    <w:rsid w:val="00BF51E8"/>
    <w:rsid w:val="00C03C24"/>
    <w:rsid w:val="00C06AA0"/>
    <w:rsid w:val="00C06F7A"/>
    <w:rsid w:val="00C10A81"/>
    <w:rsid w:val="00C10A82"/>
    <w:rsid w:val="00C11273"/>
    <w:rsid w:val="00C14B9A"/>
    <w:rsid w:val="00C15A4A"/>
    <w:rsid w:val="00C252CE"/>
    <w:rsid w:val="00C364C8"/>
    <w:rsid w:val="00C45A55"/>
    <w:rsid w:val="00C51FE2"/>
    <w:rsid w:val="00C5216A"/>
    <w:rsid w:val="00C65FF8"/>
    <w:rsid w:val="00C670A3"/>
    <w:rsid w:val="00C67E59"/>
    <w:rsid w:val="00C77B67"/>
    <w:rsid w:val="00C81E89"/>
    <w:rsid w:val="00C82EF9"/>
    <w:rsid w:val="00C92614"/>
    <w:rsid w:val="00CA4F38"/>
    <w:rsid w:val="00CA5F7E"/>
    <w:rsid w:val="00CD7A72"/>
    <w:rsid w:val="00CE3224"/>
    <w:rsid w:val="00CE3538"/>
    <w:rsid w:val="00CE5D30"/>
    <w:rsid w:val="00D03E77"/>
    <w:rsid w:val="00D04D4B"/>
    <w:rsid w:val="00D04D53"/>
    <w:rsid w:val="00D1449C"/>
    <w:rsid w:val="00D234D5"/>
    <w:rsid w:val="00D26782"/>
    <w:rsid w:val="00D36686"/>
    <w:rsid w:val="00D37393"/>
    <w:rsid w:val="00D50DE2"/>
    <w:rsid w:val="00D51DAA"/>
    <w:rsid w:val="00D55A9E"/>
    <w:rsid w:val="00D565A1"/>
    <w:rsid w:val="00D56A25"/>
    <w:rsid w:val="00D6042F"/>
    <w:rsid w:val="00D712A7"/>
    <w:rsid w:val="00D73A1F"/>
    <w:rsid w:val="00D75A53"/>
    <w:rsid w:val="00D75F17"/>
    <w:rsid w:val="00D85A96"/>
    <w:rsid w:val="00D8674C"/>
    <w:rsid w:val="00D90AFC"/>
    <w:rsid w:val="00D9712E"/>
    <w:rsid w:val="00DB1951"/>
    <w:rsid w:val="00DB24C2"/>
    <w:rsid w:val="00DB3EEE"/>
    <w:rsid w:val="00DB5D7C"/>
    <w:rsid w:val="00DB7A1D"/>
    <w:rsid w:val="00DB7BC9"/>
    <w:rsid w:val="00DC7712"/>
    <w:rsid w:val="00DC7A5B"/>
    <w:rsid w:val="00DD1DC5"/>
    <w:rsid w:val="00E02C79"/>
    <w:rsid w:val="00E0773B"/>
    <w:rsid w:val="00E078E6"/>
    <w:rsid w:val="00E14A80"/>
    <w:rsid w:val="00E17E1B"/>
    <w:rsid w:val="00E21581"/>
    <w:rsid w:val="00E22711"/>
    <w:rsid w:val="00E2584A"/>
    <w:rsid w:val="00E279C1"/>
    <w:rsid w:val="00E3076A"/>
    <w:rsid w:val="00E3698F"/>
    <w:rsid w:val="00E423F3"/>
    <w:rsid w:val="00E4685C"/>
    <w:rsid w:val="00E64DA0"/>
    <w:rsid w:val="00E66F61"/>
    <w:rsid w:val="00E70C57"/>
    <w:rsid w:val="00E73010"/>
    <w:rsid w:val="00E7451F"/>
    <w:rsid w:val="00E77A58"/>
    <w:rsid w:val="00E81D31"/>
    <w:rsid w:val="00E8453B"/>
    <w:rsid w:val="00E847D1"/>
    <w:rsid w:val="00E8631E"/>
    <w:rsid w:val="00E875FF"/>
    <w:rsid w:val="00E90D7A"/>
    <w:rsid w:val="00E9739A"/>
    <w:rsid w:val="00E97A4D"/>
    <w:rsid w:val="00EA2158"/>
    <w:rsid w:val="00EA3593"/>
    <w:rsid w:val="00EB3ED9"/>
    <w:rsid w:val="00EB5F03"/>
    <w:rsid w:val="00EB7A27"/>
    <w:rsid w:val="00EC0DD8"/>
    <w:rsid w:val="00EC4F06"/>
    <w:rsid w:val="00EC5FB8"/>
    <w:rsid w:val="00EF2AD2"/>
    <w:rsid w:val="00EF3A6C"/>
    <w:rsid w:val="00EF546C"/>
    <w:rsid w:val="00EF7E96"/>
    <w:rsid w:val="00F0565D"/>
    <w:rsid w:val="00F079B7"/>
    <w:rsid w:val="00F07EBF"/>
    <w:rsid w:val="00F12D47"/>
    <w:rsid w:val="00F1543A"/>
    <w:rsid w:val="00F161C0"/>
    <w:rsid w:val="00F359FD"/>
    <w:rsid w:val="00F61716"/>
    <w:rsid w:val="00F65D20"/>
    <w:rsid w:val="00F6704A"/>
    <w:rsid w:val="00F675CB"/>
    <w:rsid w:val="00F72175"/>
    <w:rsid w:val="00F81039"/>
    <w:rsid w:val="00F81B8A"/>
    <w:rsid w:val="00F84E60"/>
    <w:rsid w:val="00F93177"/>
    <w:rsid w:val="00F95D23"/>
    <w:rsid w:val="00F96983"/>
    <w:rsid w:val="00F96FA5"/>
    <w:rsid w:val="00FA3054"/>
    <w:rsid w:val="00FA31BD"/>
    <w:rsid w:val="00FA5F09"/>
    <w:rsid w:val="00FB07C6"/>
    <w:rsid w:val="00FB4A61"/>
    <w:rsid w:val="00FB6C9F"/>
    <w:rsid w:val="00FC0A24"/>
    <w:rsid w:val="00FD3939"/>
    <w:rsid w:val="00FD4376"/>
    <w:rsid w:val="00FE2BBD"/>
    <w:rsid w:val="00FF13DC"/>
    <w:rsid w:val="00FF5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3DC1365"/>
  <w15:docId w15:val="{07FD0F0E-37CD-410E-96EE-EA0412D1C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015A"/>
    <w:pPr>
      <w:spacing w:before="240" w:after="240" w:line="240" w:lineRule="auto"/>
    </w:pPr>
    <w:rPr>
      <w:rFonts w:ascii="Times New Roman" w:eastAsia="Times New Roman" w:hAnsi="Times New Roman" w:cs="Times New Roman"/>
      <w:szCs w:val="20"/>
    </w:rPr>
  </w:style>
  <w:style w:type="paragraph" w:styleId="Heading8">
    <w:name w:val="heading 8"/>
    <w:basedOn w:val="Normal"/>
    <w:next w:val="Normal"/>
    <w:link w:val="Heading8Char"/>
    <w:qFormat/>
    <w:rsid w:val="0021334F"/>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6489B"/>
    <w:pPr>
      <w:spacing w:before="130" w:after="130"/>
    </w:pPr>
  </w:style>
  <w:style w:type="character" w:customStyle="1" w:styleId="BodyTextChar">
    <w:name w:val="Body Text Char"/>
    <w:basedOn w:val="DefaultParagraphFont"/>
    <w:link w:val="BodyText"/>
    <w:rsid w:val="0046489B"/>
    <w:rPr>
      <w:rFonts w:ascii="Times New Roman" w:eastAsia="Times New Roman" w:hAnsi="Times New Roman" w:cs="Times New Roman"/>
      <w:sz w:val="20"/>
      <w:szCs w:val="20"/>
    </w:rPr>
  </w:style>
  <w:style w:type="paragraph" w:styleId="Header">
    <w:name w:val="header"/>
    <w:basedOn w:val="Normal"/>
    <w:link w:val="HeaderChar"/>
    <w:rsid w:val="0046489B"/>
    <w:pPr>
      <w:tabs>
        <w:tab w:val="center" w:pos="4253"/>
        <w:tab w:val="right" w:pos="8505"/>
      </w:tabs>
      <w:jc w:val="right"/>
    </w:pPr>
    <w:rPr>
      <w:i/>
    </w:rPr>
  </w:style>
  <w:style w:type="character" w:customStyle="1" w:styleId="HeaderChar">
    <w:name w:val="Header Char"/>
    <w:basedOn w:val="DefaultParagraphFont"/>
    <w:link w:val="Header"/>
    <w:rsid w:val="0046489B"/>
    <w:rPr>
      <w:rFonts w:ascii="Times New Roman" w:eastAsia="Times New Roman" w:hAnsi="Times New Roman" w:cs="Times New Roman"/>
      <w:i/>
      <w:sz w:val="20"/>
      <w:szCs w:val="20"/>
    </w:rPr>
  </w:style>
  <w:style w:type="paragraph" w:styleId="FootnoteText">
    <w:name w:val="footnote text"/>
    <w:aliases w:val="ARM footnote Text"/>
    <w:basedOn w:val="Normal"/>
    <w:link w:val="FootnoteTextChar1"/>
    <w:uiPriority w:val="99"/>
    <w:semiHidden/>
    <w:rsid w:val="0046489B"/>
  </w:style>
  <w:style w:type="character" w:customStyle="1" w:styleId="FootnoteTextChar">
    <w:name w:val="Footnote Text Char"/>
    <w:basedOn w:val="DefaultParagraphFont"/>
    <w:uiPriority w:val="99"/>
    <w:semiHidden/>
    <w:rsid w:val="0046489B"/>
    <w:rPr>
      <w:rFonts w:ascii="Times New Roman" w:eastAsia="Times New Roman" w:hAnsi="Times New Roman" w:cs="Times New Roman"/>
      <w:sz w:val="20"/>
      <w:szCs w:val="20"/>
    </w:rPr>
  </w:style>
  <w:style w:type="character" w:customStyle="1" w:styleId="FootnoteTextChar1">
    <w:name w:val="Footnote Text Char1"/>
    <w:aliases w:val="ARM footnote Text Char"/>
    <w:basedOn w:val="DefaultParagraphFont"/>
    <w:link w:val="FootnoteText"/>
    <w:uiPriority w:val="99"/>
    <w:semiHidden/>
    <w:locked/>
    <w:rsid w:val="0046489B"/>
    <w:rPr>
      <w:rFonts w:ascii="Times New Roman" w:eastAsia="Times New Roman" w:hAnsi="Times New Roman" w:cs="Times New Roman"/>
      <w:sz w:val="20"/>
      <w:szCs w:val="20"/>
    </w:rPr>
  </w:style>
  <w:style w:type="paragraph" w:styleId="DocumentMap">
    <w:name w:val="Document Map"/>
    <w:basedOn w:val="Normal"/>
    <w:link w:val="DocumentMapChar"/>
    <w:uiPriority w:val="99"/>
    <w:semiHidden/>
    <w:unhideWhenUsed/>
    <w:rsid w:val="00B03648"/>
    <w:rPr>
      <w:rFonts w:ascii="Tahoma" w:hAnsi="Tahoma" w:cs="Tahoma"/>
      <w:sz w:val="16"/>
      <w:szCs w:val="16"/>
    </w:rPr>
  </w:style>
  <w:style w:type="character" w:customStyle="1" w:styleId="DocumentMapChar">
    <w:name w:val="Document Map Char"/>
    <w:basedOn w:val="DefaultParagraphFont"/>
    <w:link w:val="DocumentMap"/>
    <w:uiPriority w:val="99"/>
    <w:semiHidden/>
    <w:rsid w:val="00B03648"/>
    <w:rPr>
      <w:rFonts w:ascii="Tahoma" w:eastAsia="Times New Roman" w:hAnsi="Tahoma" w:cs="Tahoma"/>
      <w:sz w:val="16"/>
      <w:szCs w:val="16"/>
    </w:rPr>
  </w:style>
  <w:style w:type="paragraph" w:styleId="Footer">
    <w:name w:val="footer"/>
    <w:basedOn w:val="Normal"/>
    <w:link w:val="FooterChar"/>
    <w:uiPriority w:val="99"/>
    <w:unhideWhenUsed/>
    <w:rsid w:val="00B03648"/>
    <w:pPr>
      <w:tabs>
        <w:tab w:val="center" w:pos="4680"/>
        <w:tab w:val="right" w:pos="9360"/>
      </w:tabs>
    </w:pPr>
  </w:style>
  <w:style w:type="character" w:customStyle="1" w:styleId="FooterChar">
    <w:name w:val="Footer Char"/>
    <w:basedOn w:val="DefaultParagraphFont"/>
    <w:link w:val="Footer"/>
    <w:uiPriority w:val="99"/>
    <w:rsid w:val="00B03648"/>
    <w:rPr>
      <w:rFonts w:ascii="Times New Roman" w:eastAsia="Times New Roman" w:hAnsi="Times New Roman" w:cs="Times New Roman"/>
      <w:sz w:val="20"/>
      <w:szCs w:val="20"/>
    </w:rPr>
  </w:style>
  <w:style w:type="paragraph" w:styleId="BodyTextIndent2">
    <w:name w:val="Body Text Indent 2"/>
    <w:basedOn w:val="Normal"/>
    <w:link w:val="BodyTextIndent2Char"/>
    <w:uiPriority w:val="99"/>
    <w:semiHidden/>
    <w:unhideWhenUsed/>
    <w:rsid w:val="002E76CA"/>
    <w:pPr>
      <w:spacing w:after="120" w:line="480" w:lineRule="auto"/>
      <w:ind w:left="360"/>
    </w:pPr>
  </w:style>
  <w:style w:type="character" w:customStyle="1" w:styleId="BodyTextIndent2Char">
    <w:name w:val="Body Text Indent 2 Char"/>
    <w:basedOn w:val="DefaultParagraphFont"/>
    <w:link w:val="BodyTextIndent2"/>
    <w:uiPriority w:val="99"/>
    <w:semiHidden/>
    <w:rsid w:val="002E76CA"/>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A623D9"/>
    <w:rPr>
      <w:sz w:val="16"/>
      <w:szCs w:val="16"/>
    </w:rPr>
  </w:style>
  <w:style w:type="paragraph" w:styleId="CommentText">
    <w:name w:val="annotation text"/>
    <w:basedOn w:val="Normal"/>
    <w:link w:val="CommentTextChar"/>
    <w:uiPriority w:val="99"/>
    <w:semiHidden/>
    <w:unhideWhenUsed/>
    <w:rsid w:val="00A623D9"/>
  </w:style>
  <w:style w:type="character" w:customStyle="1" w:styleId="CommentTextChar">
    <w:name w:val="Comment Text Char"/>
    <w:basedOn w:val="DefaultParagraphFont"/>
    <w:link w:val="CommentText"/>
    <w:uiPriority w:val="99"/>
    <w:semiHidden/>
    <w:rsid w:val="00A623D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623D9"/>
    <w:rPr>
      <w:b/>
      <w:bCs/>
    </w:rPr>
  </w:style>
  <w:style w:type="character" w:customStyle="1" w:styleId="CommentSubjectChar">
    <w:name w:val="Comment Subject Char"/>
    <w:basedOn w:val="CommentTextChar"/>
    <w:link w:val="CommentSubject"/>
    <w:uiPriority w:val="99"/>
    <w:semiHidden/>
    <w:rsid w:val="00A623D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A623D9"/>
    <w:rPr>
      <w:rFonts w:ascii="Tahoma" w:hAnsi="Tahoma" w:cs="Tahoma"/>
      <w:sz w:val="16"/>
      <w:szCs w:val="16"/>
    </w:rPr>
  </w:style>
  <w:style w:type="character" w:customStyle="1" w:styleId="BalloonTextChar">
    <w:name w:val="Balloon Text Char"/>
    <w:basedOn w:val="DefaultParagraphFont"/>
    <w:link w:val="BalloonText"/>
    <w:uiPriority w:val="99"/>
    <w:semiHidden/>
    <w:rsid w:val="00A623D9"/>
    <w:rPr>
      <w:rFonts w:ascii="Tahoma" w:eastAsia="Times New Roman" w:hAnsi="Tahoma" w:cs="Tahoma"/>
      <w:sz w:val="16"/>
      <w:szCs w:val="16"/>
    </w:rPr>
  </w:style>
  <w:style w:type="character" w:styleId="FootnoteReference">
    <w:name w:val="footnote reference"/>
    <w:basedOn w:val="DefaultParagraphFont"/>
    <w:uiPriority w:val="99"/>
    <w:semiHidden/>
    <w:unhideWhenUsed/>
    <w:rsid w:val="002457E4"/>
    <w:rPr>
      <w:vertAlign w:val="superscript"/>
    </w:rPr>
  </w:style>
  <w:style w:type="character" w:customStyle="1" w:styleId="Heading8Char">
    <w:name w:val="Heading 8 Char"/>
    <w:basedOn w:val="DefaultParagraphFont"/>
    <w:link w:val="Heading8"/>
    <w:rsid w:val="0021334F"/>
    <w:rPr>
      <w:rFonts w:ascii="Times New Roman" w:eastAsia="Times New Roman" w:hAnsi="Times New Roman" w:cs="Times New Roman"/>
      <w:sz w:val="20"/>
      <w:szCs w:val="20"/>
    </w:rPr>
  </w:style>
  <w:style w:type="table" w:styleId="TableGrid">
    <w:name w:val="Table Grid"/>
    <w:basedOn w:val="TableNormal"/>
    <w:rsid w:val="00A42B5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77D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5C3ABB"/>
    <w:pPr>
      <w:ind w:left="720"/>
      <w:contextualSpacing/>
    </w:pPr>
  </w:style>
  <w:style w:type="paragraph" w:customStyle="1" w:styleId="WPreference">
    <w:name w:val="WP reference"/>
    <w:basedOn w:val="Normal"/>
    <w:rsid w:val="00405A95"/>
    <w:pPr>
      <w:spacing w:before="60" w:after="60" w:line="260" w:lineRule="atLeast"/>
    </w:pPr>
    <w:rPr>
      <w:noProof/>
    </w:rPr>
  </w:style>
  <w:style w:type="paragraph" w:styleId="ListBullet">
    <w:name w:val="List Bullet"/>
    <w:basedOn w:val="Normal"/>
    <w:uiPriority w:val="99"/>
    <w:unhideWhenUsed/>
    <w:rsid w:val="0097171F"/>
    <w:pPr>
      <w:numPr>
        <w:numId w:val="2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0399988">
      <w:bodyDiv w:val="1"/>
      <w:marLeft w:val="0"/>
      <w:marRight w:val="0"/>
      <w:marTop w:val="0"/>
      <w:marBottom w:val="0"/>
      <w:divBdr>
        <w:top w:val="none" w:sz="0" w:space="0" w:color="auto"/>
        <w:left w:val="none" w:sz="0" w:space="0" w:color="auto"/>
        <w:bottom w:val="none" w:sz="0" w:space="0" w:color="auto"/>
        <w:right w:val="none" w:sz="0" w:space="0" w:color="auto"/>
      </w:divBdr>
      <w:divsChild>
        <w:div w:id="101152952">
          <w:marLeft w:val="0"/>
          <w:marRight w:val="0"/>
          <w:marTop w:val="0"/>
          <w:marBottom w:val="0"/>
          <w:divBdr>
            <w:top w:val="none" w:sz="0" w:space="0" w:color="auto"/>
            <w:left w:val="none" w:sz="0" w:space="0" w:color="auto"/>
            <w:bottom w:val="none" w:sz="0" w:space="0" w:color="auto"/>
            <w:right w:val="none" w:sz="0" w:space="0" w:color="auto"/>
          </w:divBdr>
        </w:div>
        <w:div w:id="777723919">
          <w:marLeft w:val="0"/>
          <w:marRight w:val="0"/>
          <w:marTop w:val="0"/>
          <w:marBottom w:val="0"/>
          <w:divBdr>
            <w:top w:val="none" w:sz="0" w:space="0" w:color="auto"/>
            <w:left w:val="none" w:sz="0" w:space="0" w:color="auto"/>
            <w:bottom w:val="none" w:sz="0" w:space="0" w:color="auto"/>
            <w:right w:val="none" w:sz="0" w:space="0" w:color="auto"/>
          </w:divBdr>
        </w:div>
        <w:div w:id="1052999374">
          <w:marLeft w:val="0"/>
          <w:marRight w:val="0"/>
          <w:marTop w:val="0"/>
          <w:marBottom w:val="0"/>
          <w:divBdr>
            <w:top w:val="none" w:sz="0" w:space="0" w:color="auto"/>
            <w:left w:val="none" w:sz="0" w:space="0" w:color="auto"/>
            <w:bottom w:val="none" w:sz="0" w:space="0" w:color="auto"/>
            <w:right w:val="none" w:sz="0" w:space="0" w:color="auto"/>
          </w:divBdr>
        </w:div>
        <w:div w:id="1245411206">
          <w:marLeft w:val="0"/>
          <w:marRight w:val="0"/>
          <w:marTop w:val="0"/>
          <w:marBottom w:val="0"/>
          <w:divBdr>
            <w:top w:val="none" w:sz="0" w:space="0" w:color="auto"/>
            <w:left w:val="none" w:sz="0" w:space="0" w:color="auto"/>
            <w:bottom w:val="none" w:sz="0" w:space="0" w:color="auto"/>
            <w:right w:val="none" w:sz="0" w:space="0" w:color="auto"/>
          </w:divBdr>
        </w:div>
        <w:div w:id="1258368546">
          <w:marLeft w:val="0"/>
          <w:marRight w:val="0"/>
          <w:marTop w:val="0"/>
          <w:marBottom w:val="0"/>
          <w:divBdr>
            <w:top w:val="none" w:sz="0" w:space="0" w:color="auto"/>
            <w:left w:val="none" w:sz="0" w:space="0" w:color="auto"/>
            <w:bottom w:val="none" w:sz="0" w:space="0" w:color="auto"/>
            <w:right w:val="none" w:sz="0" w:space="0" w:color="auto"/>
          </w:divBdr>
        </w:div>
        <w:div w:id="1456748790">
          <w:marLeft w:val="0"/>
          <w:marRight w:val="0"/>
          <w:marTop w:val="0"/>
          <w:marBottom w:val="0"/>
          <w:divBdr>
            <w:top w:val="none" w:sz="0" w:space="0" w:color="auto"/>
            <w:left w:val="none" w:sz="0" w:space="0" w:color="auto"/>
            <w:bottom w:val="none" w:sz="0" w:space="0" w:color="auto"/>
            <w:right w:val="none" w:sz="0" w:space="0" w:color="auto"/>
          </w:divBdr>
        </w:div>
        <w:div w:id="1486697905">
          <w:marLeft w:val="0"/>
          <w:marRight w:val="0"/>
          <w:marTop w:val="0"/>
          <w:marBottom w:val="0"/>
          <w:divBdr>
            <w:top w:val="none" w:sz="0" w:space="0" w:color="auto"/>
            <w:left w:val="none" w:sz="0" w:space="0" w:color="auto"/>
            <w:bottom w:val="none" w:sz="0" w:space="0" w:color="auto"/>
            <w:right w:val="none" w:sz="0" w:space="0" w:color="auto"/>
          </w:divBdr>
        </w:div>
        <w:div w:id="1534726545">
          <w:marLeft w:val="0"/>
          <w:marRight w:val="0"/>
          <w:marTop w:val="0"/>
          <w:marBottom w:val="0"/>
          <w:divBdr>
            <w:top w:val="none" w:sz="0" w:space="0" w:color="auto"/>
            <w:left w:val="none" w:sz="0" w:space="0" w:color="auto"/>
            <w:bottom w:val="none" w:sz="0" w:space="0" w:color="auto"/>
            <w:right w:val="none" w:sz="0" w:space="0" w:color="auto"/>
          </w:divBdr>
        </w:div>
        <w:div w:id="1666131566">
          <w:marLeft w:val="0"/>
          <w:marRight w:val="0"/>
          <w:marTop w:val="0"/>
          <w:marBottom w:val="0"/>
          <w:divBdr>
            <w:top w:val="none" w:sz="0" w:space="0" w:color="auto"/>
            <w:left w:val="none" w:sz="0" w:space="0" w:color="auto"/>
            <w:bottom w:val="none" w:sz="0" w:space="0" w:color="auto"/>
            <w:right w:val="none" w:sz="0" w:space="0" w:color="auto"/>
          </w:divBdr>
        </w:div>
        <w:div w:id="1720669168">
          <w:marLeft w:val="0"/>
          <w:marRight w:val="0"/>
          <w:marTop w:val="0"/>
          <w:marBottom w:val="0"/>
          <w:divBdr>
            <w:top w:val="none" w:sz="0" w:space="0" w:color="auto"/>
            <w:left w:val="none" w:sz="0" w:space="0" w:color="auto"/>
            <w:bottom w:val="none" w:sz="0" w:space="0" w:color="auto"/>
            <w:right w:val="none" w:sz="0" w:space="0" w:color="auto"/>
          </w:divBdr>
        </w:div>
        <w:div w:id="1879392862">
          <w:marLeft w:val="0"/>
          <w:marRight w:val="0"/>
          <w:marTop w:val="0"/>
          <w:marBottom w:val="0"/>
          <w:divBdr>
            <w:top w:val="none" w:sz="0" w:space="0" w:color="auto"/>
            <w:left w:val="none" w:sz="0" w:space="0" w:color="auto"/>
            <w:bottom w:val="none" w:sz="0" w:space="0" w:color="auto"/>
            <w:right w:val="none" w:sz="0" w:space="0" w:color="auto"/>
          </w:divBdr>
        </w:div>
        <w:div w:id="1918056898">
          <w:marLeft w:val="0"/>
          <w:marRight w:val="0"/>
          <w:marTop w:val="0"/>
          <w:marBottom w:val="0"/>
          <w:divBdr>
            <w:top w:val="none" w:sz="0" w:space="0" w:color="auto"/>
            <w:left w:val="none" w:sz="0" w:space="0" w:color="auto"/>
            <w:bottom w:val="none" w:sz="0" w:space="0" w:color="auto"/>
            <w:right w:val="none" w:sz="0" w:space="0" w:color="auto"/>
          </w:divBdr>
        </w:div>
      </w:divsChild>
    </w:div>
    <w:div w:id="1508863631">
      <w:bodyDiv w:val="1"/>
      <w:marLeft w:val="0"/>
      <w:marRight w:val="0"/>
      <w:marTop w:val="0"/>
      <w:marBottom w:val="0"/>
      <w:divBdr>
        <w:top w:val="none" w:sz="0" w:space="0" w:color="auto"/>
        <w:left w:val="none" w:sz="0" w:space="0" w:color="auto"/>
        <w:bottom w:val="none" w:sz="0" w:space="0" w:color="auto"/>
        <w:right w:val="none" w:sz="0" w:space="0" w:color="auto"/>
      </w:divBdr>
      <w:divsChild>
        <w:div w:id="16388787">
          <w:marLeft w:val="0"/>
          <w:marRight w:val="0"/>
          <w:marTop w:val="0"/>
          <w:marBottom w:val="0"/>
          <w:divBdr>
            <w:top w:val="none" w:sz="0" w:space="0" w:color="auto"/>
            <w:left w:val="none" w:sz="0" w:space="0" w:color="auto"/>
            <w:bottom w:val="none" w:sz="0" w:space="0" w:color="auto"/>
            <w:right w:val="none" w:sz="0" w:space="0" w:color="auto"/>
          </w:divBdr>
        </w:div>
        <w:div w:id="1516722856">
          <w:marLeft w:val="0"/>
          <w:marRight w:val="0"/>
          <w:marTop w:val="0"/>
          <w:marBottom w:val="0"/>
          <w:divBdr>
            <w:top w:val="none" w:sz="0" w:space="0" w:color="auto"/>
            <w:left w:val="none" w:sz="0" w:space="0" w:color="auto"/>
            <w:bottom w:val="none" w:sz="0" w:space="0" w:color="auto"/>
            <w:right w:val="none" w:sz="0" w:space="0" w:color="auto"/>
          </w:divBdr>
        </w:div>
        <w:div w:id="1550921638">
          <w:marLeft w:val="0"/>
          <w:marRight w:val="0"/>
          <w:marTop w:val="0"/>
          <w:marBottom w:val="0"/>
          <w:divBdr>
            <w:top w:val="none" w:sz="0" w:space="0" w:color="auto"/>
            <w:left w:val="none" w:sz="0" w:space="0" w:color="auto"/>
            <w:bottom w:val="none" w:sz="0" w:space="0" w:color="auto"/>
            <w:right w:val="none" w:sz="0" w:space="0" w:color="auto"/>
          </w:divBdr>
        </w:div>
        <w:div w:id="1996521049">
          <w:marLeft w:val="0"/>
          <w:marRight w:val="0"/>
          <w:marTop w:val="0"/>
          <w:marBottom w:val="0"/>
          <w:divBdr>
            <w:top w:val="none" w:sz="0" w:space="0" w:color="auto"/>
            <w:left w:val="none" w:sz="0" w:space="0" w:color="auto"/>
            <w:bottom w:val="none" w:sz="0" w:space="0" w:color="auto"/>
            <w:right w:val="none" w:sz="0" w:space="0" w:color="auto"/>
          </w:divBdr>
        </w:div>
        <w:div w:id="2087417360">
          <w:marLeft w:val="0"/>
          <w:marRight w:val="0"/>
          <w:marTop w:val="0"/>
          <w:marBottom w:val="0"/>
          <w:divBdr>
            <w:top w:val="none" w:sz="0" w:space="0" w:color="auto"/>
            <w:left w:val="none" w:sz="0" w:space="0" w:color="auto"/>
            <w:bottom w:val="none" w:sz="0" w:space="0" w:color="auto"/>
            <w:right w:val="none" w:sz="0" w:space="0" w:color="auto"/>
          </w:divBdr>
        </w:div>
      </w:divsChild>
    </w:div>
    <w:div w:id="1667397275">
      <w:bodyDiv w:val="1"/>
      <w:marLeft w:val="0"/>
      <w:marRight w:val="0"/>
      <w:marTop w:val="0"/>
      <w:marBottom w:val="0"/>
      <w:divBdr>
        <w:top w:val="none" w:sz="0" w:space="0" w:color="auto"/>
        <w:left w:val="none" w:sz="0" w:space="0" w:color="auto"/>
        <w:bottom w:val="none" w:sz="0" w:space="0" w:color="auto"/>
        <w:right w:val="none" w:sz="0" w:space="0" w:color="auto"/>
      </w:divBdr>
    </w:div>
    <w:div w:id="1883592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37DB64-57DC-4EF0-8B22-E72F67E65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1180</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Notice of Finding and Recommendation</dc:subject>
  <dc:creator>KPMG LLP</dc:creator>
  <cp:lastModifiedBy>Azoumaro, Kossi</cp:lastModifiedBy>
  <cp:revision>2</cp:revision>
  <cp:lastPrinted>2013-03-15T13:49:00Z</cp:lastPrinted>
  <dcterms:created xsi:type="dcterms:W3CDTF">2018-12-03T18:51:00Z</dcterms:created>
  <dcterms:modified xsi:type="dcterms:W3CDTF">2018-12-03T18:51:00Z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